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2"/>
        <w:gridCol w:w="1889"/>
        <w:gridCol w:w="1834"/>
        <w:gridCol w:w="2410"/>
        <w:gridCol w:w="1761"/>
        <w:gridCol w:w="1817"/>
        <w:gridCol w:w="1453"/>
      </w:tblGrid>
      <w:tr w:rsidR="00CF4890" w14:paraId="4948722D" w14:textId="51006EC6" w:rsidTr="00F555DA">
        <w:trPr>
          <w:trHeight w:val="1073"/>
        </w:trPr>
        <w:tc>
          <w:tcPr>
            <w:tcW w:w="2511" w:type="dxa"/>
            <w:vMerge w:val="restart"/>
          </w:tcPr>
          <w:p w14:paraId="1DC01897" w14:textId="77FDA982" w:rsidR="00C7343A" w:rsidRPr="00CF726A" w:rsidRDefault="00030FEB" w:rsidP="0078096A">
            <w:pPr>
              <w:jc w:val="both"/>
              <w:rPr>
                <w:b/>
                <w:bCs/>
              </w:rPr>
            </w:pPr>
            <w:r w:rsidRPr="00CF726A">
              <w:rPr>
                <w:b/>
                <w:bCs/>
              </w:rPr>
              <w:t xml:space="preserve">IDENTIFICACIÓN </w:t>
            </w:r>
            <w:r w:rsidR="00C7343A" w:rsidRPr="00CF726A">
              <w:rPr>
                <w:b/>
                <w:bCs/>
              </w:rPr>
              <w:t>de puntos críticos en los procesos de la entidad</w:t>
            </w:r>
          </w:p>
        </w:tc>
        <w:tc>
          <w:tcPr>
            <w:tcW w:w="2304" w:type="dxa"/>
            <w:vMerge w:val="restart"/>
          </w:tcPr>
          <w:p w14:paraId="6D7C17A5" w14:textId="674508A8" w:rsidR="00C7343A" w:rsidRDefault="00C7343A" w:rsidP="0078096A">
            <w:pPr>
              <w:jc w:val="both"/>
            </w:pPr>
            <w:r>
              <w:t>Identificación de riesgos de soborno, según Política de Administración del Riesgo.</w:t>
            </w:r>
          </w:p>
        </w:tc>
        <w:tc>
          <w:tcPr>
            <w:tcW w:w="2557" w:type="dxa"/>
          </w:tcPr>
          <w:p w14:paraId="303327B5" w14:textId="77777777" w:rsidR="00C7343A" w:rsidRDefault="00C7343A" w:rsidP="0078096A">
            <w:pPr>
              <w:jc w:val="both"/>
            </w:pPr>
            <w:r>
              <w:t>Análisis de trámites y servicios que presta la entidad.</w:t>
            </w:r>
          </w:p>
          <w:p w14:paraId="2DAE8EB6" w14:textId="6422060A" w:rsidR="00C7343A" w:rsidRDefault="00C7343A" w:rsidP="0078096A">
            <w:pPr>
              <w:jc w:val="both"/>
            </w:pPr>
          </w:p>
        </w:tc>
        <w:tc>
          <w:tcPr>
            <w:tcW w:w="2688" w:type="dxa"/>
          </w:tcPr>
          <w:p w14:paraId="4CA3F706" w14:textId="24E5F0F9" w:rsidR="00C7343A" w:rsidRDefault="00C7343A" w:rsidP="0078096A">
            <w:pPr>
              <w:jc w:val="both"/>
            </w:pPr>
            <w:r>
              <w:t>Incluir los riesgos identificados</w:t>
            </w:r>
            <w:r w:rsidR="00770A96">
              <w:t xml:space="preserve"> por soborno</w:t>
            </w:r>
            <w:r>
              <w:t xml:space="preserve"> en el mapa de riesgos de corrupción de cada proceso.</w:t>
            </w:r>
          </w:p>
        </w:tc>
        <w:tc>
          <w:tcPr>
            <w:tcW w:w="2060" w:type="dxa"/>
          </w:tcPr>
          <w:p w14:paraId="08BAE725" w14:textId="23DC62FA" w:rsidR="00C7343A" w:rsidRDefault="00023288" w:rsidP="0078096A">
            <w:pPr>
              <w:jc w:val="both"/>
            </w:pPr>
            <w:r>
              <w:t>#</w:t>
            </w:r>
            <w:r w:rsidR="00CF4890">
              <w:t xml:space="preserve"> de </w:t>
            </w:r>
            <w:r>
              <w:t>riesgos de corrupción por proceso/#</w:t>
            </w:r>
            <w:r w:rsidR="00CF4890">
              <w:t xml:space="preserve"> de </w:t>
            </w:r>
            <w:r>
              <w:t>riesgos identificados por soborno en el mapa de procesos por corrupción.</w:t>
            </w:r>
          </w:p>
        </w:tc>
        <w:tc>
          <w:tcPr>
            <w:tcW w:w="2617" w:type="dxa"/>
          </w:tcPr>
          <w:p w14:paraId="1BE26224" w14:textId="2032237F" w:rsidR="00C7343A" w:rsidRDefault="00C7343A" w:rsidP="0078096A">
            <w:pPr>
              <w:jc w:val="both"/>
            </w:pPr>
            <w:r>
              <w:t xml:space="preserve">Director, </w:t>
            </w:r>
            <w:r w:rsidR="0011707B">
              <w:t>S</w:t>
            </w:r>
            <w:r>
              <w:t xml:space="preserve">ubdirector y/o </w:t>
            </w:r>
            <w:r w:rsidR="0011707B">
              <w:t>J</w:t>
            </w:r>
            <w:r>
              <w:t>efe responsable de trámite o servicio que presta la entidad.</w:t>
            </w:r>
          </w:p>
        </w:tc>
        <w:tc>
          <w:tcPr>
            <w:tcW w:w="1567" w:type="dxa"/>
          </w:tcPr>
          <w:p w14:paraId="083DF354" w14:textId="77777777" w:rsidR="00C7343A" w:rsidRDefault="00C7343A" w:rsidP="0078096A">
            <w:pPr>
              <w:jc w:val="both"/>
            </w:pPr>
          </w:p>
          <w:p w14:paraId="766B1B34" w14:textId="0ECFBBC7" w:rsidR="00341A5C" w:rsidRDefault="007648F7" w:rsidP="0078096A">
            <w:pPr>
              <w:jc w:val="both"/>
            </w:pPr>
            <w:r>
              <w:t>6 meses</w:t>
            </w:r>
          </w:p>
          <w:p w14:paraId="37299AAD" w14:textId="77777777" w:rsidR="00341A5C" w:rsidRDefault="00341A5C" w:rsidP="0078096A">
            <w:pPr>
              <w:jc w:val="both"/>
            </w:pPr>
          </w:p>
          <w:p w14:paraId="226DD29C" w14:textId="77777777" w:rsidR="00341A5C" w:rsidRDefault="00341A5C" w:rsidP="0078096A">
            <w:pPr>
              <w:jc w:val="both"/>
            </w:pPr>
          </w:p>
          <w:p w14:paraId="1CA606C3" w14:textId="77777777" w:rsidR="00341A5C" w:rsidRDefault="00341A5C" w:rsidP="0078096A">
            <w:pPr>
              <w:jc w:val="both"/>
            </w:pPr>
          </w:p>
          <w:p w14:paraId="415A569A" w14:textId="77777777" w:rsidR="00341A5C" w:rsidRDefault="00341A5C" w:rsidP="0078096A">
            <w:pPr>
              <w:jc w:val="both"/>
            </w:pPr>
          </w:p>
          <w:p w14:paraId="18A67C39" w14:textId="44DEF5EC" w:rsidR="00341A5C" w:rsidRDefault="00341A5C" w:rsidP="0078096A">
            <w:pPr>
              <w:jc w:val="both"/>
            </w:pPr>
          </w:p>
        </w:tc>
      </w:tr>
      <w:tr w:rsidR="00CF4890" w14:paraId="506E6DAA" w14:textId="45F84576" w:rsidTr="00F555DA">
        <w:trPr>
          <w:trHeight w:val="1072"/>
        </w:trPr>
        <w:tc>
          <w:tcPr>
            <w:tcW w:w="2511" w:type="dxa"/>
            <w:vMerge/>
          </w:tcPr>
          <w:p w14:paraId="78AD507F" w14:textId="77777777" w:rsidR="00C7343A" w:rsidRPr="005C1C0D" w:rsidRDefault="00C7343A" w:rsidP="0078096A">
            <w:pPr>
              <w:jc w:val="both"/>
            </w:pPr>
          </w:p>
        </w:tc>
        <w:tc>
          <w:tcPr>
            <w:tcW w:w="2304" w:type="dxa"/>
            <w:vMerge/>
          </w:tcPr>
          <w:p w14:paraId="2BF61977" w14:textId="77777777" w:rsidR="00C7343A" w:rsidRDefault="00C7343A" w:rsidP="0078096A">
            <w:pPr>
              <w:jc w:val="both"/>
            </w:pPr>
          </w:p>
        </w:tc>
        <w:tc>
          <w:tcPr>
            <w:tcW w:w="2557" w:type="dxa"/>
          </w:tcPr>
          <w:p w14:paraId="1B3BB17D" w14:textId="4953ABBF" w:rsidR="00C7343A" w:rsidRDefault="00C7343A" w:rsidP="0078096A">
            <w:pPr>
              <w:jc w:val="both"/>
            </w:pPr>
            <w:r>
              <w:t>Revisión estructura orgánica, funciones, procesos y procedimientos.</w:t>
            </w:r>
          </w:p>
        </w:tc>
        <w:tc>
          <w:tcPr>
            <w:tcW w:w="2688" w:type="dxa"/>
          </w:tcPr>
          <w:p w14:paraId="2C8B0596" w14:textId="77777777" w:rsidR="00C7343A" w:rsidRDefault="00C7343A" w:rsidP="0078096A">
            <w:pPr>
              <w:jc w:val="both"/>
            </w:pPr>
            <w:r>
              <w:t>Realizar seguimiento a los riesgos identificados.</w:t>
            </w:r>
          </w:p>
          <w:p w14:paraId="5C14D848" w14:textId="77777777" w:rsidR="00C7343A" w:rsidRDefault="00C7343A" w:rsidP="0078096A">
            <w:pPr>
              <w:jc w:val="both"/>
            </w:pPr>
          </w:p>
        </w:tc>
        <w:tc>
          <w:tcPr>
            <w:tcW w:w="2060" w:type="dxa"/>
          </w:tcPr>
          <w:p w14:paraId="608CA6AE" w14:textId="77777777" w:rsidR="00C7343A" w:rsidRPr="009F47C0" w:rsidRDefault="00F25015" w:rsidP="0078096A">
            <w:pPr>
              <w:jc w:val="both"/>
            </w:pPr>
            <w:r w:rsidRPr="009F47C0">
              <w:t>Un (1) seguimiento cuatrimestral</w:t>
            </w:r>
          </w:p>
          <w:p w14:paraId="5488C27A" w14:textId="62BB6292" w:rsidR="00F25015" w:rsidRPr="009F47C0" w:rsidRDefault="00F25015" w:rsidP="0078096A">
            <w:pPr>
              <w:jc w:val="both"/>
            </w:pPr>
            <w:r w:rsidRPr="009F47C0">
              <w:t>Tres (3) seguimientos cuatrimestrales durante la vigencia</w:t>
            </w:r>
          </w:p>
        </w:tc>
        <w:tc>
          <w:tcPr>
            <w:tcW w:w="2617" w:type="dxa"/>
          </w:tcPr>
          <w:p w14:paraId="4627D0FE" w14:textId="11426E43" w:rsidR="00C7343A" w:rsidRPr="009F47C0" w:rsidRDefault="00C7343A" w:rsidP="00F25015">
            <w:pPr>
              <w:pStyle w:val="Prrafodelista"/>
              <w:numPr>
                <w:ilvl w:val="0"/>
                <w:numId w:val="3"/>
              </w:numPr>
              <w:ind w:left="94" w:hanging="142"/>
              <w:jc w:val="both"/>
            </w:pPr>
            <w:r w:rsidRPr="009F47C0">
              <w:t>Director, subdirector y/o jefe responsable de cada proceso.</w:t>
            </w:r>
          </w:p>
          <w:p w14:paraId="70C29510" w14:textId="77777777" w:rsidR="00F25015" w:rsidRPr="009F47C0" w:rsidRDefault="00C7343A" w:rsidP="00F25015">
            <w:pPr>
              <w:pStyle w:val="Prrafodelista"/>
              <w:numPr>
                <w:ilvl w:val="0"/>
                <w:numId w:val="3"/>
              </w:numPr>
              <w:ind w:left="94" w:hanging="142"/>
              <w:jc w:val="both"/>
            </w:pPr>
            <w:r w:rsidRPr="009F47C0">
              <w:t>Subsecretaria General</w:t>
            </w:r>
          </w:p>
          <w:p w14:paraId="26BA3420" w14:textId="73DD6C90" w:rsidR="00C7343A" w:rsidRPr="009F47C0" w:rsidRDefault="00C7343A" w:rsidP="00F25015">
            <w:pPr>
              <w:pStyle w:val="Prrafodelista"/>
              <w:numPr>
                <w:ilvl w:val="0"/>
                <w:numId w:val="3"/>
              </w:numPr>
              <w:ind w:left="94" w:hanging="142"/>
              <w:jc w:val="both"/>
            </w:pPr>
            <w:r w:rsidRPr="009F47C0">
              <w:t>Oficina de Control Interno.</w:t>
            </w:r>
          </w:p>
        </w:tc>
        <w:tc>
          <w:tcPr>
            <w:tcW w:w="1567" w:type="dxa"/>
          </w:tcPr>
          <w:p w14:paraId="694250E6" w14:textId="5A446468" w:rsidR="00F6142A" w:rsidRPr="009F47C0" w:rsidRDefault="00F25015" w:rsidP="0078096A">
            <w:pPr>
              <w:jc w:val="both"/>
            </w:pPr>
            <w:r w:rsidRPr="009F47C0">
              <w:t>Cuatrimestral</w:t>
            </w:r>
          </w:p>
          <w:p w14:paraId="608DA6E4" w14:textId="109AC3EE" w:rsidR="00F6142A" w:rsidRPr="009F47C0" w:rsidRDefault="00F6142A" w:rsidP="0078096A">
            <w:pPr>
              <w:jc w:val="both"/>
            </w:pPr>
          </w:p>
        </w:tc>
      </w:tr>
      <w:tr w:rsidR="00CF4890" w14:paraId="6AFF5B2F" w14:textId="35486FAA" w:rsidTr="00F555DA">
        <w:tc>
          <w:tcPr>
            <w:tcW w:w="2511" w:type="dxa"/>
          </w:tcPr>
          <w:p w14:paraId="7B510FBF" w14:textId="436DFF10" w:rsidR="00C7343A" w:rsidRPr="004B3066" w:rsidRDefault="00C7343A" w:rsidP="0078096A">
            <w:pPr>
              <w:jc w:val="both"/>
              <w:rPr>
                <w:b/>
                <w:bCs/>
              </w:rPr>
            </w:pPr>
            <w:r w:rsidRPr="004B3066">
              <w:rPr>
                <w:b/>
                <w:bCs/>
              </w:rPr>
              <w:t>Identificación de señales de alerta</w:t>
            </w:r>
          </w:p>
        </w:tc>
        <w:tc>
          <w:tcPr>
            <w:tcW w:w="2304" w:type="dxa"/>
          </w:tcPr>
          <w:p w14:paraId="6FD605B3" w14:textId="6681E11F" w:rsidR="00C7343A" w:rsidRDefault="00C7343A" w:rsidP="0078096A">
            <w:pPr>
              <w:jc w:val="both"/>
            </w:pPr>
            <w:r>
              <w:t>Determinación comportamientos o conductas repetitivas, recurrentes o periódicas que puedan conllevar riesgo de corrupción.</w:t>
            </w:r>
          </w:p>
        </w:tc>
        <w:tc>
          <w:tcPr>
            <w:tcW w:w="2557" w:type="dxa"/>
          </w:tcPr>
          <w:p w14:paraId="197F297E" w14:textId="12A8254C" w:rsidR="00C7343A" w:rsidRDefault="00C7343A" w:rsidP="0078096A">
            <w:pPr>
              <w:jc w:val="both"/>
            </w:pPr>
            <w:r>
              <w:t>Identificar Señales de Alerta.</w:t>
            </w:r>
          </w:p>
        </w:tc>
        <w:tc>
          <w:tcPr>
            <w:tcW w:w="2688" w:type="dxa"/>
          </w:tcPr>
          <w:p w14:paraId="00A592DA" w14:textId="20783EC2" w:rsidR="00C7343A" w:rsidRDefault="00C7343A" w:rsidP="0078096A">
            <w:pPr>
              <w:jc w:val="both"/>
            </w:pPr>
            <w:r>
              <w:t xml:space="preserve">Incluir en los mapas de riesgos de los procesos las </w:t>
            </w:r>
            <w:r w:rsidRPr="00341A5C">
              <w:rPr>
                <w:i/>
                <w:iCs/>
              </w:rPr>
              <w:t>“Señales de Alerta”,</w:t>
            </w:r>
            <w:r>
              <w:t xml:space="preserve"> como causas de los riesgos potenciales de soborno o cohecho.</w:t>
            </w:r>
          </w:p>
        </w:tc>
        <w:tc>
          <w:tcPr>
            <w:tcW w:w="2060" w:type="dxa"/>
          </w:tcPr>
          <w:p w14:paraId="46F7BC83" w14:textId="77777777" w:rsidR="00CF4890" w:rsidRPr="009F47C0" w:rsidRDefault="00023288" w:rsidP="0078096A">
            <w:pPr>
              <w:jc w:val="both"/>
            </w:pPr>
            <w:r w:rsidRPr="009F47C0">
              <w:t>#</w:t>
            </w:r>
            <w:r w:rsidR="00CF4890" w:rsidRPr="009F47C0">
              <w:t xml:space="preserve"> de </w:t>
            </w:r>
            <w:r w:rsidRPr="009F47C0">
              <w:t>riesgos de soborno identificados en el mapa de riesgos por procesos</w:t>
            </w:r>
          </w:p>
          <w:p w14:paraId="2C1B65E2" w14:textId="77777777" w:rsidR="00CF4890" w:rsidRPr="009F47C0" w:rsidRDefault="00CF4890" w:rsidP="0078096A">
            <w:pPr>
              <w:jc w:val="both"/>
            </w:pPr>
          </w:p>
          <w:p w14:paraId="28CF2528" w14:textId="2907D24C" w:rsidR="00C7343A" w:rsidRPr="009F47C0" w:rsidRDefault="00023288" w:rsidP="0078096A">
            <w:pPr>
              <w:jc w:val="both"/>
            </w:pPr>
            <w:r w:rsidRPr="009F47C0">
              <w:t xml:space="preserve"> </w:t>
            </w:r>
            <w:r w:rsidR="00CF4890" w:rsidRPr="009F47C0">
              <w:t># de</w:t>
            </w:r>
            <w:r w:rsidRPr="009F47C0">
              <w:t xml:space="preserve"> señales de alerta</w:t>
            </w:r>
            <w:r w:rsidR="00DC3A93" w:rsidRPr="009F47C0">
              <w:t xml:space="preserve"> </w:t>
            </w:r>
            <w:r w:rsidR="00CF4890" w:rsidRPr="009F47C0">
              <w:t xml:space="preserve">incluidas </w:t>
            </w:r>
            <w:r w:rsidR="00DC3A93" w:rsidRPr="009F47C0">
              <w:t xml:space="preserve">en cada uno de </w:t>
            </w:r>
            <w:r w:rsidR="00DC3A93" w:rsidRPr="009F47C0">
              <w:lastRenderedPageBreak/>
              <w:t>los riesgos identificados.</w:t>
            </w:r>
          </w:p>
        </w:tc>
        <w:tc>
          <w:tcPr>
            <w:tcW w:w="2617" w:type="dxa"/>
          </w:tcPr>
          <w:p w14:paraId="44A5CB89" w14:textId="10080122" w:rsidR="00C7343A" w:rsidRPr="009F47C0" w:rsidRDefault="00C7343A" w:rsidP="0078096A">
            <w:pPr>
              <w:jc w:val="both"/>
            </w:pPr>
            <w:r w:rsidRPr="009F47C0">
              <w:lastRenderedPageBreak/>
              <w:t xml:space="preserve">Director, </w:t>
            </w:r>
            <w:r w:rsidR="0011707B" w:rsidRPr="009F47C0">
              <w:t>S</w:t>
            </w:r>
            <w:r w:rsidRPr="009F47C0">
              <w:t xml:space="preserve">ubdirector y/o </w:t>
            </w:r>
            <w:r w:rsidR="0011707B" w:rsidRPr="009F47C0">
              <w:t>J</w:t>
            </w:r>
            <w:r w:rsidRPr="009F47C0">
              <w:t>efe responsable de cada proceso</w:t>
            </w:r>
          </w:p>
        </w:tc>
        <w:tc>
          <w:tcPr>
            <w:tcW w:w="1567" w:type="dxa"/>
          </w:tcPr>
          <w:p w14:paraId="36F0A9BF" w14:textId="728C9057" w:rsidR="00C7343A" w:rsidRPr="009F47C0" w:rsidRDefault="00CF4890" w:rsidP="0078096A">
            <w:pPr>
              <w:jc w:val="both"/>
            </w:pPr>
            <w:r w:rsidRPr="009F47C0">
              <w:t>6</w:t>
            </w:r>
            <w:r w:rsidR="008436E9" w:rsidRPr="009F47C0">
              <w:t xml:space="preserve"> meses</w:t>
            </w:r>
          </w:p>
        </w:tc>
      </w:tr>
      <w:tr w:rsidR="008A68D4" w14:paraId="76BA3BDC" w14:textId="49ACC7D2" w:rsidTr="00F555DA">
        <w:trPr>
          <w:trHeight w:val="675"/>
        </w:trPr>
        <w:tc>
          <w:tcPr>
            <w:tcW w:w="2511" w:type="dxa"/>
            <w:vMerge w:val="restart"/>
          </w:tcPr>
          <w:p w14:paraId="6159F76F" w14:textId="27F2A853" w:rsidR="008A68D4" w:rsidRPr="00CF726A" w:rsidRDefault="008A68D4" w:rsidP="0078096A">
            <w:pPr>
              <w:jc w:val="both"/>
              <w:rPr>
                <w:b/>
                <w:bCs/>
              </w:rPr>
            </w:pPr>
            <w:r w:rsidRPr="00CF726A">
              <w:rPr>
                <w:b/>
                <w:bCs/>
              </w:rPr>
              <w:t>Adopción de medidas de control para la prevención de riesgos de soborno o cohecho</w:t>
            </w:r>
          </w:p>
        </w:tc>
        <w:tc>
          <w:tcPr>
            <w:tcW w:w="2304" w:type="dxa"/>
          </w:tcPr>
          <w:p w14:paraId="53764F24" w14:textId="7731F1FA" w:rsidR="008A68D4" w:rsidRDefault="008A68D4" w:rsidP="00CF726A">
            <w:pPr>
              <w:spacing w:after="229" w:line="250" w:lineRule="auto"/>
            </w:pPr>
            <w:r>
              <w:t xml:space="preserve">Aplicación de </w:t>
            </w:r>
            <w:r w:rsidRPr="0078096A">
              <w:t>Controles antisoborno</w:t>
            </w:r>
            <w:r w:rsidR="00775BE2">
              <w:t xml:space="preserve"> </w:t>
            </w:r>
            <w:r w:rsidRPr="0078096A">
              <w:t>en las auditorías internas</w:t>
            </w:r>
          </w:p>
        </w:tc>
        <w:tc>
          <w:tcPr>
            <w:tcW w:w="2557" w:type="dxa"/>
          </w:tcPr>
          <w:p w14:paraId="252B1F82" w14:textId="1057813D" w:rsidR="008A68D4" w:rsidRDefault="008A68D4" w:rsidP="0078096A">
            <w:pPr>
              <w:jc w:val="both"/>
            </w:pPr>
            <w:r>
              <w:t>Evaluar medidas anticorrupción.</w:t>
            </w:r>
          </w:p>
        </w:tc>
        <w:tc>
          <w:tcPr>
            <w:tcW w:w="2688" w:type="dxa"/>
          </w:tcPr>
          <w:p w14:paraId="7CC6EE8B" w14:textId="35D9ACAF" w:rsidR="008A68D4" w:rsidRDefault="008A68D4" w:rsidP="0078096A">
            <w:pPr>
              <w:jc w:val="both"/>
            </w:pPr>
            <w:r>
              <w:t>Incluir en el Plan de Auditorías Internas la evaluación al debido seguimiento a los riesgos de soborno.</w:t>
            </w:r>
          </w:p>
        </w:tc>
        <w:tc>
          <w:tcPr>
            <w:tcW w:w="2060" w:type="dxa"/>
          </w:tcPr>
          <w:p w14:paraId="4C020C58" w14:textId="7509007A" w:rsidR="008A68D4" w:rsidRDefault="008A68D4" w:rsidP="0078096A">
            <w:pPr>
              <w:jc w:val="both"/>
            </w:pPr>
            <w:r>
              <w:t>1 plan de auditoría que incluya evaluación de riesgos de soborno</w:t>
            </w:r>
          </w:p>
        </w:tc>
        <w:tc>
          <w:tcPr>
            <w:tcW w:w="2617" w:type="dxa"/>
          </w:tcPr>
          <w:p w14:paraId="2BEC9B66" w14:textId="2DD12841" w:rsidR="008A68D4" w:rsidRPr="00FA704C" w:rsidRDefault="008A68D4" w:rsidP="0078096A">
            <w:pPr>
              <w:jc w:val="both"/>
            </w:pPr>
            <w:r w:rsidRPr="00FA704C">
              <w:t>Oficina de Control Interno</w:t>
            </w:r>
          </w:p>
        </w:tc>
        <w:tc>
          <w:tcPr>
            <w:tcW w:w="1567" w:type="dxa"/>
          </w:tcPr>
          <w:p w14:paraId="047AAF6A" w14:textId="788EBA05" w:rsidR="008A68D4" w:rsidRPr="00FA704C" w:rsidRDefault="00482F6A" w:rsidP="0078096A">
            <w:pPr>
              <w:jc w:val="both"/>
            </w:pPr>
            <w:r w:rsidRPr="00FA704C">
              <w:t>12 meses</w:t>
            </w:r>
          </w:p>
        </w:tc>
      </w:tr>
      <w:tr w:rsidR="008A68D4" w14:paraId="4B8576DE" w14:textId="71A82D1A" w:rsidTr="00F555DA">
        <w:trPr>
          <w:trHeight w:val="1706"/>
        </w:trPr>
        <w:tc>
          <w:tcPr>
            <w:tcW w:w="2511" w:type="dxa"/>
            <w:vMerge/>
          </w:tcPr>
          <w:p w14:paraId="61976061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 w:val="restart"/>
          </w:tcPr>
          <w:p w14:paraId="07595404" w14:textId="1C8D28A5" w:rsidR="008A68D4" w:rsidRDefault="008A68D4" w:rsidP="009D203C">
            <w:pPr>
              <w:jc w:val="both"/>
            </w:pPr>
            <w:r w:rsidRPr="001701FB">
              <w:t xml:space="preserve">Prohibición de “Pagos de facilitación” </w:t>
            </w:r>
          </w:p>
        </w:tc>
        <w:tc>
          <w:tcPr>
            <w:tcW w:w="2557" w:type="dxa"/>
            <w:vMerge w:val="restart"/>
          </w:tcPr>
          <w:p w14:paraId="63A709D6" w14:textId="4BA54499" w:rsidR="008A68D4" w:rsidRDefault="008A68D4" w:rsidP="009D203C">
            <w:pPr>
              <w:jc w:val="both"/>
            </w:pPr>
            <w:r>
              <w:t>Recibir y tramitar las denuncias</w:t>
            </w:r>
          </w:p>
        </w:tc>
        <w:tc>
          <w:tcPr>
            <w:tcW w:w="2688" w:type="dxa"/>
          </w:tcPr>
          <w:p w14:paraId="08F8CAB7" w14:textId="6E9131B8" w:rsidR="008A68D4" w:rsidRDefault="008A68D4" w:rsidP="009D203C">
            <w:pPr>
              <w:jc w:val="both"/>
            </w:pPr>
            <w:r>
              <w:t>Adelantar investigaciones disciplinarias, cuando a ello hubiere lugar.</w:t>
            </w:r>
          </w:p>
        </w:tc>
        <w:tc>
          <w:tcPr>
            <w:tcW w:w="2060" w:type="dxa"/>
          </w:tcPr>
          <w:p w14:paraId="782068D4" w14:textId="5A318C74" w:rsidR="008A68D4" w:rsidRDefault="008A68D4" w:rsidP="009D203C">
            <w:pPr>
              <w:jc w:val="both"/>
            </w:pPr>
            <w:r>
              <w:t># de investigaciones disciplinarias iniciadas por soborno/# de denuncias recibidas por soborno</w:t>
            </w:r>
          </w:p>
        </w:tc>
        <w:tc>
          <w:tcPr>
            <w:tcW w:w="2617" w:type="dxa"/>
          </w:tcPr>
          <w:p w14:paraId="6ED3D073" w14:textId="4C009ECF" w:rsidR="008A68D4" w:rsidRPr="00FA704C" w:rsidRDefault="00775BE2" w:rsidP="009D203C">
            <w:pPr>
              <w:jc w:val="both"/>
            </w:pPr>
            <w:r w:rsidRPr="00FA704C">
              <w:rPr>
                <w:color w:val="000000" w:themeColor="text1"/>
              </w:rPr>
              <w:t>Oficina de</w:t>
            </w:r>
            <w:r w:rsidR="008A68D4" w:rsidRPr="00FA704C">
              <w:rPr>
                <w:color w:val="000000" w:themeColor="text1"/>
              </w:rPr>
              <w:t xml:space="preserve"> Control</w:t>
            </w:r>
            <w:r w:rsidRPr="00FA704C">
              <w:rPr>
                <w:color w:val="000000" w:themeColor="text1"/>
              </w:rPr>
              <w:t xml:space="preserve"> </w:t>
            </w:r>
            <w:r w:rsidR="00DA4C61" w:rsidRPr="00FA704C">
              <w:rPr>
                <w:color w:val="000000" w:themeColor="text1"/>
              </w:rPr>
              <w:t xml:space="preserve">Disciplinario </w:t>
            </w:r>
            <w:r w:rsidRPr="00FA704C">
              <w:rPr>
                <w:color w:val="000000" w:themeColor="text1"/>
              </w:rPr>
              <w:t>Interno</w:t>
            </w:r>
            <w:r w:rsidR="008A68D4" w:rsidRPr="00FA704C">
              <w:rPr>
                <w:color w:val="000000" w:themeColor="text1"/>
              </w:rPr>
              <w:t xml:space="preserve"> </w:t>
            </w:r>
          </w:p>
        </w:tc>
        <w:tc>
          <w:tcPr>
            <w:tcW w:w="1567" w:type="dxa"/>
          </w:tcPr>
          <w:p w14:paraId="5BD7361B" w14:textId="60B6CEFD" w:rsidR="008A68D4" w:rsidRPr="00FA704C" w:rsidRDefault="008A68D4" w:rsidP="008A68D4">
            <w:pPr>
              <w:jc w:val="both"/>
            </w:pPr>
            <w:r w:rsidRPr="00FA704C">
              <w:t>Permanente a partir de la aprobación de la Política Antisoborno.</w:t>
            </w:r>
          </w:p>
        </w:tc>
      </w:tr>
      <w:tr w:rsidR="008A68D4" w14:paraId="5F6332D3" w14:textId="77777777" w:rsidTr="00F555DA">
        <w:trPr>
          <w:trHeight w:val="1404"/>
        </w:trPr>
        <w:tc>
          <w:tcPr>
            <w:tcW w:w="2511" w:type="dxa"/>
            <w:vMerge/>
          </w:tcPr>
          <w:p w14:paraId="5E9E448B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/>
          </w:tcPr>
          <w:p w14:paraId="78B8833A" w14:textId="77777777" w:rsidR="008A68D4" w:rsidRPr="001701FB" w:rsidRDefault="008A68D4" w:rsidP="009D203C">
            <w:pPr>
              <w:jc w:val="both"/>
            </w:pPr>
          </w:p>
        </w:tc>
        <w:tc>
          <w:tcPr>
            <w:tcW w:w="2557" w:type="dxa"/>
            <w:vMerge/>
          </w:tcPr>
          <w:p w14:paraId="598F3624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  <w:vMerge w:val="restart"/>
          </w:tcPr>
          <w:p w14:paraId="661CD679" w14:textId="6A012C9C" w:rsidR="008A68D4" w:rsidRDefault="008A68D4" w:rsidP="009D203C">
            <w:pPr>
              <w:jc w:val="both"/>
            </w:pPr>
            <w:r>
              <w:t>Informar a entes de Control y autoridades judiciales y administrativas, según corresponda.</w:t>
            </w:r>
          </w:p>
        </w:tc>
        <w:tc>
          <w:tcPr>
            <w:tcW w:w="2060" w:type="dxa"/>
          </w:tcPr>
          <w:p w14:paraId="77012161" w14:textId="37C87C7D" w:rsidR="008A68D4" w:rsidRDefault="008A68D4" w:rsidP="009D203C">
            <w:pPr>
              <w:jc w:val="both"/>
            </w:pPr>
            <w:r>
              <w:t># de reportes a entes de control /# de solicitudes de información entes de control</w:t>
            </w:r>
          </w:p>
        </w:tc>
        <w:tc>
          <w:tcPr>
            <w:tcW w:w="2617" w:type="dxa"/>
            <w:vMerge w:val="restart"/>
          </w:tcPr>
          <w:p w14:paraId="3B5E9A72" w14:textId="77777777" w:rsidR="00775BE2" w:rsidRPr="00FA704C" w:rsidRDefault="008A68D4" w:rsidP="009D203C">
            <w:pPr>
              <w:jc w:val="both"/>
            </w:pPr>
            <w:r w:rsidRPr="00FA704C">
              <w:t xml:space="preserve">-Subsecretaria General </w:t>
            </w:r>
          </w:p>
          <w:p w14:paraId="25CF0D3F" w14:textId="2197E477" w:rsidR="008A68D4" w:rsidRPr="00FA704C" w:rsidRDefault="008A68D4" w:rsidP="009D203C">
            <w:pPr>
              <w:jc w:val="both"/>
              <w:rPr>
                <w:color w:val="000000" w:themeColor="text1"/>
              </w:rPr>
            </w:pPr>
          </w:p>
          <w:p w14:paraId="359C6AFA" w14:textId="5B246360" w:rsidR="008A68D4" w:rsidRPr="00FA704C" w:rsidRDefault="008A68D4" w:rsidP="009D203C">
            <w:pPr>
              <w:jc w:val="both"/>
            </w:pPr>
            <w:r w:rsidRPr="00FA704C">
              <w:t>-Oficina de Control Interno.</w:t>
            </w:r>
          </w:p>
          <w:p w14:paraId="1E0531EB" w14:textId="4858C842" w:rsidR="003727D3" w:rsidRPr="00FA704C" w:rsidRDefault="003727D3" w:rsidP="009D203C">
            <w:pPr>
              <w:jc w:val="both"/>
            </w:pPr>
          </w:p>
          <w:p w14:paraId="1107552F" w14:textId="1EC4D0B8" w:rsidR="003727D3" w:rsidRPr="00FA704C" w:rsidRDefault="003727D3" w:rsidP="003727D3">
            <w:pPr>
              <w:jc w:val="both"/>
            </w:pPr>
            <w:r w:rsidRPr="00FA704C">
              <w:t>-Dirección Legal Ambiental</w:t>
            </w:r>
          </w:p>
          <w:p w14:paraId="3AECFAEA" w14:textId="77777777" w:rsidR="00775BE2" w:rsidRPr="00FA704C" w:rsidRDefault="00775BE2" w:rsidP="009D203C">
            <w:pPr>
              <w:jc w:val="both"/>
            </w:pPr>
          </w:p>
          <w:p w14:paraId="7B5CC029" w14:textId="4BD47342" w:rsidR="008A68D4" w:rsidRPr="00FA704C" w:rsidRDefault="008A68D4" w:rsidP="009D203C">
            <w:pPr>
              <w:jc w:val="both"/>
            </w:pPr>
            <w:r w:rsidRPr="00FA704C">
              <w:t>-</w:t>
            </w:r>
            <w:r w:rsidR="004723E4" w:rsidRPr="00FA704C">
              <w:t>F</w:t>
            </w:r>
            <w:r w:rsidRPr="00FA704C">
              <w:t xml:space="preserve">uncionarios, </w:t>
            </w:r>
            <w:r w:rsidR="004723E4" w:rsidRPr="00FA704C">
              <w:t>C</w:t>
            </w:r>
            <w:r w:rsidRPr="00FA704C">
              <w:t xml:space="preserve">ontratistas, </w:t>
            </w:r>
            <w:r w:rsidR="004723E4" w:rsidRPr="00FA704C">
              <w:lastRenderedPageBreak/>
              <w:t>T</w:t>
            </w:r>
            <w:r w:rsidRPr="00FA704C">
              <w:t xml:space="preserve">erceros, </w:t>
            </w:r>
            <w:r w:rsidR="004723E4" w:rsidRPr="00FA704C">
              <w:t>C</w:t>
            </w:r>
            <w:r w:rsidRPr="00FA704C">
              <w:t>iudadanía</w:t>
            </w:r>
          </w:p>
        </w:tc>
        <w:tc>
          <w:tcPr>
            <w:tcW w:w="1567" w:type="dxa"/>
          </w:tcPr>
          <w:p w14:paraId="3044EDCA" w14:textId="6AFEFDAD" w:rsidR="008A68D4" w:rsidRPr="00FA704C" w:rsidRDefault="008A68D4" w:rsidP="009D203C">
            <w:pPr>
              <w:jc w:val="both"/>
            </w:pPr>
            <w:r w:rsidRPr="00FA704C">
              <w:lastRenderedPageBreak/>
              <w:t>Permanente a partir de la aprobación de la Política Antisoborno.</w:t>
            </w:r>
          </w:p>
        </w:tc>
      </w:tr>
      <w:tr w:rsidR="008A68D4" w14:paraId="6A4AA52A" w14:textId="77777777" w:rsidTr="00F555DA">
        <w:trPr>
          <w:trHeight w:val="677"/>
        </w:trPr>
        <w:tc>
          <w:tcPr>
            <w:tcW w:w="2511" w:type="dxa"/>
            <w:vMerge/>
          </w:tcPr>
          <w:p w14:paraId="60AEF902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/>
          </w:tcPr>
          <w:p w14:paraId="3393BE7C" w14:textId="77777777" w:rsidR="008A68D4" w:rsidRPr="001701FB" w:rsidRDefault="008A68D4" w:rsidP="009D203C">
            <w:pPr>
              <w:jc w:val="both"/>
            </w:pPr>
          </w:p>
        </w:tc>
        <w:tc>
          <w:tcPr>
            <w:tcW w:w="2557" w:type="dxa"/>
            <w:vMerge/>
          </w:tcPr>
          <w:p w14:paraId="45FF5F15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  <w:vMerge/>
          </w:tcPr>
          <w:p w14:paraId="70EF7FC5" w14:textId="77777777" w:rsidR="008A68D4" w:rsidRDefault="008A68D4" w:rsidP="009D203C">
            <w:pPr>
              <w:jc w:val="both"/>
            </w:pPr>
          </w:p>
        </w:tc>
        <w:tc>
          <w:tcPr>
            <w:tcW w:w="2060" w:type="dxa"/>
          </w:tcPr>
          <w:p w14:paraId="2F058BEC" w14:textId="215C9064" w:rsidR="008A68D4" w:rsidRDefault="008A68D4" w:rsidP="009D203C">
            <w:pPr>
              <w:jc w:val="both"/>
            </w:pPr>
            <w:r>
              <w:t>* Proceso de Rendición de Cuentas</w:t>
            </w:r>
          </w:p>
        </w:tc>
        <w:tc>
          <w:tcPr>
            <w:tcW w:w="2617" w:type="dxa"/>
            <w:vMerge/>
          </w:tcPr>
          <w:p w14:paraId="02D5B12F" w14:textId="77777777" w:rsidR="008A68D4" w:rsidRPr="00FA704C" w:rsidRDefault="008A68D4" w:rsidP="009D203C">
            <w:pPr>
              <w:jc w:val="both"/>
            </w:pPr>
          </w:p>
        </w:tc>
        <w:tc>
          <w:tcPr>
            <w:tcW w:w="1567" w:type="dxa"/>
          </w:tcPr>
          <w:p w14:paraId="5AFB0062" w14:textId="67FB511E" w:rsidR="008A68D4" w:rsidRPr="00FA704C" w:rsidRDefault="008A68D4" w:rsidP="009D203C">
            <w:pPr>
              <w:jc w:val="both"/>
            </w:pPr>
            <w:r w:rsidRPr="00FA704C">
              <w:t>*Al menos una vez por vigencia.</w:t>
            </w:r>
          </w:p>
        </w:tc>
      </w:tr>
      <w:tr w:rsidR="008A68D4" w14:paraId="5BC0781B" w14:textId="6A4386CB" w:rsidTr="00F555DA">
        <w:trPr>
          <w:trHeight w:val="789"/>
        </w:trPr>
        <w:tc>
          <w:tcPr>
            <w:tcW w:w="2511" w:type="dxa"/>
            <w:vMerge/>
          </w:tcPr>
          <w:p w14:paraId="5A2DF8D1" w14:textId="67807CC4" w:rsidR="008A68D4" w:rsidRDefault="008A68D4" w:rsidP="009D203C">
            <w:pPr>
              <w:spacing w:after="229" w:line="250" w:lineRule="auto"/>
            </w:pPr>
          </w:p>
        </w:tc>
        <w:tc>
          <w:tcPr>
            <w:tcW w:w="2304" w:type="dxa"/>
            <w:vMerge w:val="restart"/>
          </w:tcPr>
          <w:p w14:paraId="30AF3F6C" w14:textId="7A06FC72" w:rsidR="008A68D4" w:rsidRDefault="008A68D4" w:rsidP="009D203C">
            <w:pPr>
              <w:jc w:val="both"/>
            </w:pPr>
            <w:r w:rsidRPr="001701FB">
              <w:t>Adopción de la “Política de regalos y hospitalidad”</w:t>
            </w:r>
          </w:p>
        </w:tc>
        <w:tc>
          <w:tcPr>
            <w:tcW w:w="2557" w:type="dxa"/>
            <w:vMerge w:val="restart"/>
          </w:tcPr>
          <w:p w14:paraId="6D1EA16C" w14:textId="40BBFE67" w:rsidR="008A68D4" w:rsidRDefault="008A68D4" w:rsidP="009D203C">
            <w:pPr>
              <w:jc w:val="both"/>
            </w:pPr>
            <w:r>
              <w:t>Recibir reportes relativos a la prohibición recepción de cualquier tipo de regalos o beneficios u hospitalidad.</w:t>
            </w:r>
          </w:p>
        </w:tc>
        <w:tc>
          <w:tcPr>
            <w:tcW w:w="2688" w:type="dxa"/>
          </w:tcPr>
          <w:p w14:paraId="4E20CF60" w14:textId="734C46BA" w:rsidR="008A68D4" w:rsidRDefault="008A68D4" w:rsidP="00B912EC">
            <w:pPr>
              <w:jc w:val="both"/>
            </w:pPr>
            <w:r>
              <w:t>-Evaluar las situaciones reportadas.</w:t>
            </w:r>
          </w:p>
        </w:tc>
        <w:tc>
          <w:tcPr>
            <w:tcW w:w="2060" w:type="dxa"/>
            <w:vMerge w:val="restart"/>
          </w:tcPr>
          <w:p w14:paraId="6D755D13" w14:textId="39E3AA39" w:rsidR="008A68D4" w:rsidRDefault="008A68D4" w:rsidP="009D203C">
            <w:pPr>
              <w:jc w:val="both"/>
            </w:pPr>
            <w:r>
              <w:t># de reportes efectuados/# de reportes recibidos.</w:t>
            </w:r>
          </w:p>
        </w:tc>
        <w:tc>
          <w:tcPr>
            <w:tcW w:w="2617" w:type="dxa"/>
            <w:vMerge w:val="restart"/>
          </w:tcPr>
          <w:p w14:paraId="78BD63E7" w14:textId="016A7E21" w:rsidR="008A68D4" w:rsidRDefault="008A68D4" w:rsidP="009D203C">
            <w:pPr>
              <w:jc w:val="both"/>
            </w:pPr>
            <w:r>
              <w:t>Jefe Inmediato.</w:t>
            </w:r>
          </w:p>
          <w:p w14:paraId="07246A0E" w14:textId="33656A97" w:rsidR="008A68D4" w:rsidRDefault="008A68D4" w:rsidP="009D203C">
            <w:pPr>
              <w:jc w:val="both"/>
            </w:pPr>
            <w:r>
              <w:t xml:space="preserve">Jefe de </w:t>
            </w:r>
            <w:r w:rsidR="00775BE2">
              <w:t xml:space="preserve">Oficina de </w:t>
            </w:r>
            <w:r>
              <w:t>Control Interno</w:t>
            </w:r>
          </w:p>
        </w:tc>
        <w:tc>
          <w:tcPr>
            <w:tcW w:w="1567" w:type="dxa"/>
            <w:vMerge w:val="restart"/>
          </w:tcPr>
          <w:p w14:paraId="100DD147" w14:textId="7D225BB8" w:rsidR="008A68D4" w:rsidRDefault="008A68D4" w:rsidP="006D70A0">
            <w:pPr>
              <w:jc w:val="both"/>
            </w:pPr>
            <w:r>
              <w:t>Permanente, a partir de la aprobación de la Política Antisoborno.</w:t>
            </w:r>
          </w:p>
          <w:p w14:paraId="3B97038C" w14:textId="1B396B42" w:rsidR="008A68D4" w:rsidRDefault="008A68D4" w:rsidP="009D203C">
            <w:pPr>
              <w:jc w:val="both"/>
            </w:pPr>
          </w:p>
        </w:tc>
      </w:tr>
      <w:tr w:rsidR="008A68D4" w14:paraId="11D10309" w14:textId="77777777" w:rsidTr="00F555DA">
        <w:trPr>
          <w:trHeight w:val="547"/>
        </w:trPr>
        <w:tc>
          <w:tcPr>
            <w:tcW w:w="2511" w:type="dxa"/>
            <w:vMerge/>
          </w:tcPr>
          <w:p w14:paraId="2BCEBBDA" w14:textId="77777777" w:rsidR="008A68D4" w:rsidRDefault="008A68D4" w:rsidP="009D203C">
            <w:pPr>
              <w:spacing w:after="229" w:line="250" w:lineRule="auto"/>
            </w:pPr>
          </w:p>
        </w:tc>
        <w:tc>
          <w:tcPr>
            <w:tcW w:w="2304" w:type="dxa"/>
            <w:vMerge/>
          </w:tcPr>
          <w:p w14:paraId="3509777B" w14:textId="77777777" w:rsidR="008A68D4" w:rsidRPr="001701FB" w:rsidRDefault="008A68D4" w:rsidP="009D203C">
            <w:pPr>
              <w:jc w:val="both"/>
            </w:pPr>
          </w:p>
        </w:tc>
        <w:tc>
          <w:tcPr>
            <w:tcW w:w="2557" w:type="dxa"/>
            <w:vMerge/>
          </w:tcPr>
          <w:p w14:paraId="473988FE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054953EA" w14:textId="504253FE" w:rsidR="008A68D4" w:rsidRDefault="008A68D4" w:rsidP="009D203C">
            <w:pPr>
              <w:jc w:val="both"/>
            </w:pPr>
            <w:r>
              <w:t>-Resolver dudas de viabilidad.</w:t>
            </w:r>
          </w:p>
        </w:tc>
        <w:tc>
          <w:tcPr>
            <w:tcW w:w="2060" w:type="dxa"/>
            <w:vMerge/>
          </w:tcPr>
          <w:p w14:paraId="435668D7" w14:textId="77777777" w:rsidR="008A68D4" w:rsidRDefault="008A68D4" w:rsidP="009D203C">
            <w:pPr>
              <w:jc w:val="both"/>
            </w:pPr>
          </w:p>
        </w:tc>
        <w:tc>
          <w:tcPr>
            <w:tcW w:w="2617" w:type="dxa"/>
            <w:vMerge/>
          </w:tcPr>
          <w:p w14:paraId="6924F11A" w14:textId="4A809EBC" w:rsidR="008A68D4" w:rsidRDefault="008A68D4" w:rsidP="009D203C">
            <w:pPr>
              <w:jc w:val="both"/>
            </w:pPr>
          </w:p>
        </w:tc>
        <w:tc>
          <w:tcPr>
            <w:tcW w:w="1567" w:type="dxa"/>
            <w:vMerge/>
          </w:tcPr>
          <w:p w14:paraId="49425C05" w14:textId="77777777" w:rsidR="008A68D4" w:rsidRDefault="008A68D4" w:rsidP="009D203C">
            <w:pPr>
              <w:jc w:val="both"/>
            </w:pPr>
          </w:p>
        </w:tc>
      </w:tr>
      <w:tr w:rsidR="008A68D4" w14:paraId="49AFD807" w14:textId="77777777" w:rsidTr="00F555DA">
        <w:trPr>
          <w:trHeight w:val="569"/>
        </w:trPr>
        <w:tc>
          <w:tcPr>
            <w:tcW w:w="2511" w:type="dxa"/>
            <w:vMerge/>
          </w:tcPr>
          <w:p w14:paraId="1A6E343B" w14:textId="77777777" w:rsidR="008A68D4" w:rsidRDefault="008A68D4" w:rsidP="009D203C">
            <w:pPr>
              <w:spacing w:after="229" w:line="250" w:lineRule="auto"/>
            </w:pPr>
          </w:p>
        </w:tc>
        <w:tc>
          <w:tcPr>
            <w:tcW w:w="2304" w:type="dxa"/>
            <w:vMerge/>
          </w:tcPr>
          <w:p w14:paraId="10D68B9C" w14:textId="77777777" w:rsidR="008A68D4" w:rsidRPr="001701FB" w:rsidRDefault="008A68D4" w:rsidP="009D203C">
            <w:pPr>
              <w:jc w:val="both"/>
            </w:pPr>
          </w:p>
        </w:tc>
        <w:tc>
          <w:tcPr>
            <w:tcW w:w="2557" w:type="dxa"/>
            <w:vMerge/>
          </w:tcPr>
          <w:p w14:paraId="11B6A0CA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264312F1" w14:textId="04DB9D28" w:rsidR="008A68D4" w:rsidRDefault="008A68D4" w:rsidP="009D203C">
            <w:pPr>
              <w:jc w:val="both"/>
            </w:pPr>
            <w:r>
              <w:t>-Informar a la Oficina de Control Interno.</w:t>
            </w:r>
          </w:p>
        </w:tc>
        <w:tc>
          <w:tcPr>
            <w:tcW w:w="2060" w:type="dxa"/>
            <w:vMerge/>
          </w:tcPr>
          <w:p w14:paraId="6B88182A" w14:textId="77777777" w:rsidR="008A68D4" w:rsidRDefault="008A68D4" w:rsidP="009D203C">
            <w:pPr>
              <w:jc w:val="both"/>
            </w:pPr>
          </w:p>
        </w:tc>
        <w:tc>
          <w:tcPr>
            <w:tcW w:w="2617" w:type="dxa"/>
            <w:vMerge/>
          </w:tcPr>
          <w:p w14:paraId="763A6BCF" w14:textId="6500D213" w:rsidR="008A68D4" w:rsidRDefault="008A68D4" w:rsidP="009D203C">
            <w:pPr>
              <w:jc w:val="both"/>
            </w:pPr>
          </w:p>
        </w:tc>
        <w:tc>
          <w:tcPr>
            <w:tcW w:w="1567" w:type="dxa"/>
            <w:vMerge/>
          </w:tcPr>
          <w:p w14:paraId="3A46D03F" w14:textId="77777777" w:rsidR="008A68D4" w:rsidRDefault="008A68D4" w:rsidP="009D203C">
            <w:pPr>
              <w:jc w:val="both"/>
            </w:pPr>
          </w:p>
        </w:tc>
      </w:tr>
      <w:tr w:rsidR="008A68D4" w:rsidRPr="008D0F32" w14:paraId="5620746E" w14:textId="2B6FD79F" w:rsidTr="00F555DA">
        <w:trPr>
          <w:trHeight w:val="2412"/>
        </w:trPr>
        <w:tc>
          <w:tcPr>
            <w:tcW w:w="2511" w:type="dxa"/>
            <w:vMerge/>
          </w:tcPr>
          <w:p w14:paraId="01CC82AC" w14:textId="473F6051" w:rsidR="008A68D4" w:rsidRDefault="008A68D4" w:rsidP="009D203C">
            <w:pPr>
              <w:spacing w:after="229" w:line="250" w:lineRule="auto"/>
            </w:pPr>
          </w:p>
        </w:tc>
        <w:tc>
          <w:tcPr>
            <w:tcW w:w="2304" w:type="dxa"/>
          </w:tcPr>
          <w:p w14:paraId="1DBDB250" w14:textId="790FA403" w:rsidR="008A68D4" w:rsidRDefault="008A68D4" w:rsidP="009D203C">
            <w:pPr>
              <w:jc w:val="both"/>
            </w:pPr>
            <w:r w:rsidRPr="001701FB">
              <w:t xml:space="preserve">Seguimiento de la agenda de reuniones de la Alta Dirección </w:t>
            </w:r>
          </w:p>
        </w:tc>
        <w:tc>
          <w:tcPr>
            <w:tcW w:w="2557" w:type="dxa"/>
          </w:tcPr>
          <w:p w14:paraId="1CBB1399" w14:textId="7CE65439" w:rsidR="00C247F0" w:rsidRPr="00C247F0" w:rsidRDefault="00C247F0" w:rsidP="00C247F0">
            <w:pPr>
              <w:jc w:val="both"/>
            </w:pPr>
            <w:r w:rsidRPr="00C247F0">
              <w:rPr>
                <w:lang w:val="es-MX"/>
              </w:rPr>
              <w:t xml:space="preserve">Prohibición de visitas y reuniones </w:t>
            </w:r>
            <w:r w:rsidRPr="00C247F0">
              <w:rPr>
                <w:b/>
                <w:bCs/>
                <w:lang w:val="es-MX"/>
              </w:rPr>
              <w:t>una vez el proceso est</w:t>
            </w:r>
            <w:r>
              <w:rPr>
                <w:b/>
                <w:bCs/>
                <w:lang w:val="es-MX"/>
              </w:rPr>
              <w:t>e</w:t>
            </w:r>
            <w:r w:rsidRPr="00C247F0">
              <w:rPr>
                <w:b/>
                <w:bCs/>
                <w:lang w:val="es-MX"/>
              </w:rPr>
              <w:t xml:space="preserve"> abierto, que no hacen parte del proceso</w:t>
            </w:r>
            <w:r w:rsidRPr="00C247F0">
              <w:rPr>
                <w:lang w:val="es-MX"/>
              </w:rPr>
              <w:t xml:space="preserve"> con proponentes o empresas que estén participando en procesos de selección de la entidad</w:t>
            </w:r>
          </w:p>
          <w:p w14:paraId="2E9324CA" w14:textId="373C3B48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116E78E4" w14:textId="32D983B5" w:rsidR="003D7EF7" w:rsidRPr="008D0F32" w:rsidRDefault="003D7EF7" w:rsidP="009D203C">
            <w:pPr>
              <w:jc w:val="both"/>
            </w:pPr>
            <w:r w:rsidRPr="008D0F32">
              <w:rPr>
                <w:rFonts w:ascii="Calibri" w:eastAsia="Times New Roman" w:hAnsi="Calibri" w:cs="Calibri"/>
                <w:color w:val="0000FF"/>
                <w:lang w:eastAsia="es-CO"/>
              </w:rPr>
              <w:t>-</w:t>
            </w:r>
            <w:r w:rsidRPr="008D0F32">
              <w:rPr>
                <w:rFonts w:ascii="Calibri" w:eastAsia="Times New Roman" w:hAnsi="Calibri" w:cs="Calibri"/>
                <w:color w:val="000000" w:themeColor="text1"/>
                <w:lang w:eastAsia="es-CO"/>
              </w:rPr>
              <w:t>Hacer seguimiento al cumplimiento del lineamiento relacionado con la no aceptación de visitas y reuniones previas con proponentes o empresas que estén participando en procesos de selección en la Entidad, con base en la</w:t>
            </w:r>
            <w:r w:rsidR="003800E3" w:rsidRPr="008D0F32">
              <w:rPr>
                <w:rFonts w:ascii="Calibri" w:eastAsia="Times New Roman" w:hAnsi="Calibri" w:cs="Calibri"/>
                <w:color w:val="000000" w:themeColor="text1"/>
                <w:lang w:eastAsia="es-CO"/>
              </w:rPr>
              <w:t xml:space="preserve"> </w:t>
            </w:r>
            <w:r w:rsidRPr="008D0F32">
              <w:rPr>
                <w:rFonts w:ascii="Calibri" w:eastAsia="Times New Roman" w:hAnsi="Calibri" w:cs="Calibri"/>
                <w:color w:val="000000" w:themeColor="text1"/>
                <w:lang w:eastAsia="es-CO"/>
              </w:rPr>
              <w:t>información del sistema de registro de visitas y reuniones de la alta dirección (numeral 6.3.4 de la Política Antisoborno).</w:t>
            </w:r>
          </w:p>
        </w:tc>
        <w:tc>
          <w:tcPr>
            <w:tcW w:w="2060" w:type="dxa"/>
          </w:tcPr>
          <w:p w14:paraId="199FA80A" w14:textId="1AC35CB3" w:rsidR="00030FEB" w:rsidRPr="008D0F32" w:rsidRDefault="003D7EF7" w:rsidP="00B912EC">
            <w:pPr>
              <w:jc w:val="both"/>
            </w:pPr>
            <w:r w:rsidRPr="008D0F32">
              <w:rPr>
                <w:rFonts w:ascii="Calibri" w:eastAsia="Times New Roman" w:hAnsi="Calibri" w:cs="Calibri"/>
                <w:color w:val="000000" w:themeColor="text1"/>
                <w:lang w:eastAsia="es-CO"/>
              </w:rPr>
              <w:t xml:space="preserve">Un (1) seguimiento cada cuatrimestre, es decir, tres (3) seguimientos </w:t>
            </w:r>
            <w:r w:rsidR="000E22A4" w:rsidRPr="008D0F32">
              <w:rPr>
                <w:rFonts w:ascii="Calibri" w:eastAsia="Times New Roman" w:hAnsi="Calibri" w:cs="Calibri"/>
                <w:color w:val="000000" w:themeColor="text1"/>
                <w:lang w:eastAsia="es-CO"/>
              </w:rPr>
              <w:t>al año.</w:t>
            </w:r>
          </w:p>
        </w:tc>
        <w:tc>
          <w:tcPr>
            <w:tcW w:w="2617" w:type="dxa"/>
          </w:tcPr>
          <w:p w14:paraId="35561F7A" w14:textId="5F13E75C" w:rsidR="008A68D4" w:rsidRPr="008D0F32" w:rsidRDefault="008A68D4" w:rsidP="00B912EC">
            <w:pPr>
              <w:jc w:val="both"/>
            </w:pPr>
            <w:r w:rsidRPr="008D0F32">
              <w:t>Oficina de Control Interno</w:t>
            </w:r>
          </w:p>
        </w:tc>
        <w:tc>
          <w:tcPr>
            <w:tcW w:w="1567" w:type="dxa"/>
          </w:tcPr>
          <w:p w14:paraId="2BEE6E8D" w14:textId="513D4E29" w:rsidR="008A68D4" w:rsidRPr="008D0F32" w:rsidRDefault="003D7EF7" w:rsidP="009D203C">
            <w:pPr>
              <w:jc w:val="both"/>
              <w:rPr>
                <w:color w:val="000000" w:themeColor="text1"/>
              </w:rPr>
            </w:pPr>
            <w:r w:rsidRPr="008D0F32">
              <w:rPr>
                <w:color w:val="000000" w:themeColor="text1"/>
              </w:rPr>
              <w:t>Cuatrimestral</w:t>
            </w:r>
          </w:p>
          <w:p w14:paraId="2BA79A6D" w14:textId="77777777" w:rsidR="008A68D4" w:rsidRPr="008D0F32" w:rsidRDefault="008A68D4" w:rsidP="009D203C">
            <w:pPr>
              <w:jc w:val="both"/>
            </w:pPr>
          </w:p>
          <w:p w14:paraId="2F69807C" w14:textId="77777777" w:rsidR="008A68D4" w:rsidRPr="008D0F32" w:rsidRDefault="008A68D4" w:rsidP="009D203C">
            <w:pPr>
              <w:jc w:val="both"/>
            </w:pPr>
          </w:p>
          <w:p w14:paraId="17D3CD30" w14:textId="77777777" w:rsidR="008A68D4" w:rsidRPr="008D0F32" w:rsidRDefault="008A68D4" w:rsidP="009D203C">
            <w:pPr>
              <w:jc w:val="both"/>
            </w:pPr>
          </w:p>
          <w:p w14:paraId="6E704E73" w14:textId="77777777" w:rsidR="008A68D4" w:rsidRPr="008D0F32" w:rsidRDefault="008A68D4" w:rsidP="009D203C">
            <w:pPr>
              <w:jc w:val="both"/>
            </w:pPr>
          </w:p>
          <w:p w14:paraId="4209AF12" w14:textId="77777777" w:rsidR="008A68D4" w:rsidRPr="008D0F32" w:rsidRDefault="008A68D4" w:rsidP="009D203C">
            <w:pPr>
              <w:jc w:val="both"/>
            </w:pPr>
          </w:p>
          <w:p w14:paraId="4FBB3962" w14:textId="77777777" w:rsidR="008A68D4" w:rsidRPr="008D0F32" w:rsidRDefault="008A68D4" w:rsidP="009D203C">
            <w:pPr>
              <w:jc w:val="both"/>
            </w:pPr>
          </w:p>
          <w:p w14:paraId="65D99797" w14:textId="77777777" w:rsidR="008A68D4" w:rsidRPr="008D0F32" w:rsidRDefault="008A68D4" w:rsidP="009D203C">
            <w:pPr>
              <w:jc w:val="both"/>
            </w:pPr>
          </w:p>
          <w:p w14:paraId="7CAFA65B" w14:textId="5873EFC5" w:rsidR="008A68D4" w:rsidRPr="008D0F32" w:rsidRDefault="008A68D4" w:rsidP="009D203C">
            <w:pPr>
              <w:jc w:val="both"/>
            </w:pPr>
          </w:p>
        </w:tc>
      </w:tr>
      <w:tr w:rsidR="008A68D4" w14:paraId="1B793E3B" w14:textId="798DE8B7" w:rsidTr="003D7EF7">
        <w:trPr>
          <w:trHeight w:val="2107"/>
        </w:trPr>
        <w:tc>
          <w:tcPr>
            <w:tcW w:w="2511" w:type="dxa"/>
            <w:vMerge/>
          </w:tcPr>
          <w:p w14:paraId="361F833E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 w:val="restart"/>
          </w:tcPr>
          <w:p w14:paraId="71FAAED9" w14:textId="2F24F5ED" w:rsidR="008A68D4" w:rsidRDefault="008A68D4" w:rsidP="009D203C">
            <w:pPr>
              <w:spacing w:after="229" w:line="250" w:lineRule="auto"/>
              <w:jc w:val="both"/>
            </w:pPr>
            <w:r w:rsidRPr="009D203C">
              <w:t>Control de comunicaciones relacionadas con procesos claves de toma de decisión</w:t>
            </w:r>
          </w:p>
        </w:tc>
        <w:tc>
          <w:tcPr>
            <w:tcW w:w="2557" w:type="dxa"/>
            <w:vMerge w:val="restart"/>
          </w:tcPr>
          <w:p w14:paraId="28CC48F4" w14:textId="4C9E0E1C" w:rsidR="008A68D4" w:rsidRDefault="008A68D4" w:rsidP="009D203C">
            <w:pPr>
              <w:jc w:val="both"/>
            </w:pPr>
            <w:r>
              <w:t>Articular el control de las comunicaciones, través de los procedimientos establecidos y las plataformas digitales e información física (archivos) asociados a temas clave de decisión:</w:t>
            </w:r>
          </w:p>
          <w:p w14:paraId="3F889A80" w14:textId="77777777" w:rsidR="008A68D4" w:rsidRDefault="008A68D4" w:rsidP="009D203C">
            <w:pPr>
              <w:jc w:val="both"/>
            </w:pPr>
            <w:r>
              <w:t>-Procesos Contractuales</w:t>
            </w:r>
          </w:p>
          <w:p w14:paraId="1B1CD8CD" w14:textId="77777777" w:rsidR="008A68D4" w:rsidRDefault="008A68D4" w:rsidP="009D203C">
            <w:pPr>
              <w:jc w:val="both"/>
            </w:pPr>
            <w:r>
              <w:t>-Vinculación de personal</w:t>
            </w:r>
          </w:p>
          <w:p w14:paraId="6CE2A0FE" w14:textId="20828157" w:rsidR="008A68D4" w:rsidRDefault="008A68D4" w:rsidP="009D203C">
            <w:pPr>
              <w:jc w:val="both"/>
            </w:pPr>
            <w:r>
              <w:t>-Trámites y servicios que presta la entidad.</w:t>
            </w:r>
          </w:p>
        </w:tc>
        <w:tc>
          <w:tcPr>
            <w:tcW w:w="2688" w:type="dxa"/>
          </w:tcPr>
          <w:p w14:paraId="3912A60E" w14:textId="19E4530D" w:rsidR="008A68D4" w:rsidRDefault="008A68D4" w:rsidP="009D203C">
            <w:pPr>
              <w:jc w:val="both"/>
            </w:pPr>
            <w:r>
              <w:t>Realizar el seguimiento a la trazabilidad de los procesos, en los aplicativos asociados a la gestión.</w:t>
            </w:r>
          </w:p>
        </w:tc>
        <w:tc>
          <w:tcPr>
            <w:tcW w:w="2060" w:type="dxa"/>
          </w:tcPr>
          <w:p w14:paraId="57D5CF55" w14:textId="41AE1722" w:rsidR="008A68D4" w:rsidRDefault="008A68D4" w:rsidP="009D203C">
            <w:pPr>
              <w:jc w:val="both"/>
            </w:pPr>
            <w:r w:rsidRPr="003877A8">
              <w:t>1 seguimiento trimestral a la trazabilidad de los procesos en FOREST Y aplicativo de contratación</w:t>
            </w:r>
          </w:p>
        </w:tc>
        <w:tc>
          <w:tcPr>
            <w:tcW w:w="2617" w:type="dxa"/>
            <w:vMerge w:val="restart"/>
          </w:tcPr>
          <w:p w14:paraId="2A4BCEF1" w14:textId="513420A9" w:rsidR="008A68D4" w:rsidRDefault="008A68D4" w:rsidP="009D203C">
            <w:pPr>
              <w:jc w:val="both"/>
            </w:pPr>
            <w:r>
              <w:t>Dirección de Planeación y Sistemas de Información Ambiental</w:t>
            </w:r>
          </w:p>
        </w:tc>
        <w:tc>
          <w:tcPr>
            <w:tcW w:w="1567" w:type="dxa"/>
            <w:vMerge w:val="restart"/>
          </w:tcPr>
          <w:p w14:paraId="5425B7D4" w14:textId="49B20DB4" w:rsidR="008A68D4" w:rsidRDefault="000923AC" w:rsidP="009D203C">
            <w:pPr>
              <w:jc w:val="both"/>
            </w:pPr>
            <w:r>
              <w:t>T</w:t>
            </w:r>
            <w:r w:rsidR="008A68D4">
              <w:t>rimestral</w:t>
            </w:r>
          </w:p>
        </w:tc>
      </w:tr>
      <w:tr w:rsidR="008A68D4" w14:paraId="2310B62C" w14:textId="77777777" w:rsidTr="00F555DA">
        <w:trPr>
          <w:trHeight w:val="2665"/>
        </w:trPr>
        <w:tc>
          <w:tcPr>
            <w:tcW w:w="2511" w:type="dxa"/>
            <w:vMerge/>
          </w:tcPr>
          <w:p w14:paraId="69BE060F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/>
          </w:tcPr>
          <w:p w14:paraId="39FB4DE2" w14:textId="77777777" w:rsidR="008A68D4" w:rsidRPr="009D203C" w:rsidRDefault="008A68D4" w:rsidP="009D203C">
            <w:pPr>
              <w:spacing w:after="229" w:line="250" w:lineRule="auto"/>
              <w:jc w:val="both"/>
            </w:pPr>
          </w:p>
        </w:tc>
        <w:tc>
          <w:tcPr>
            <w:tcW w:w="2557" w:type="dxa"/>
            <w:vMerge/>
          </w:tcPr>
          <w:p w14:paraId="78E7A82C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6A2B8E5A" w14:textId="33673837" w:rsidR="008A68D4" w:rsidRDefault="008A68D4" w:rsidP="009D203C">
            <w:pPr>
              <w:jc w:val="both"/>
            </w:pPr>
            <w:r>
              <w:t>Diseñar herramientas de seguimiento, según se identifique la necesidad.</w:t>
            </w:r>
          </w:p>
        </w:tc>
        <w:tc>
          <w:tcPr>
            <w:tcW w:w="2060" w:type="dxa"/>
          </w:tcPr>
          <w:p w14:paraId="00AF91ED" w14:textId="2DA83E3D" w:rsidR="008A68D4" w:rsidRDefault="008A68D4" w:rsidP="009D203C">
            <w:pPr>
              <w:jc w:val="both"/>
            </w:pPr>
            <w:r>
              <w:t># de herramientas diseñadas/ # de necesidades identificadas de control de comunicaciones.</w:t>
            </w:r>
          </w:p>
        </w:tc>
        <w:tc>
          <w:tcPr>
            <w:tcW w:w="2617" w:type="dxa"/>
            <w:vMerge/>
          </w:tcPr>
          <w:p w14:paraId="240101F7" w14:textId="407FC4D9" w:rsidR="008A68D4" w:rsidRDefault="008A68D4" w:rsidP="009D203C">
            <w:pPr>
              <w:jc w:val="both"/>
            </w:pPr>
          </w:p>
        </w:tc>
        <w:tc>
          <w:tcPr>
            <w:tcW w:w="1567" w:type="dxa"/>
            <w:vMerge/>
          </w:tcPr>
          <w:p w14:paraId="55B53074" w14:textId="77777777" w:rsidR="008A68D4" w:rsidRDefault="008A68D4" w:rsidP="009D203C">
            <w:pPr>
              <w:jc w:val="both"/>
            </w:pPr>
          </w:p>
        </w:tc>
      </w:tr>
      <w:tr w:rsidR="008A68D4" w14:paraId="15161A83" w14:textId="460A29E4" w:rsidTr="00F555DA">
        <w:trPr>
          <w:trHeight w:val="1082"/>
        </w:trPr>
        <w:tc>
          <w:tcPr>
            <w:tcW w:w="2511" w:type="dxa"/>
            <w:vMerge/>
          </w:tcPr>
          <w:p w14:paraId="08AD38FE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 w:val="restart"/>
          </w:tcPr>
          <w:p w14:paraId="78701993" w14:textId="132D7988" w:rsidR="008A68D4" w:rsidRPr="009D203C" w:rsidRDefault="008A68D4" w:rsidP="009D203C">
            <w:pPr>
              <w:spacing w:after="229" w:line="250" w:lineRule="auto"/>
            </w:pPr>
            <w:r w:rsidRPr="009D203C">
              <w:t>Canal y ruta de denuncias de la entidad</w:t>
            </w:r>
          </w:p>
        </w:tc>
        <w:tc>
          <w:tcPr>
            <w:tcW w:w="2557" w:type="dxa"/>
            <w:vMerge w:val="restart"/>
          </w:tcPr>
          <w:p w14:paraId="345D18B1" w14:textId="5A04F577" w:rsidR="008A68D4" w:rsidRDefault="008A68D4" w:rsidP="009D203C">
            <w:pPr>
              <w:jc w:val="both"/>
            </w:pPr>
            <w:r>
              <w:t xml:space="preserve">Establecer e informar sobre los canales de denuncia establecidos y la forma en que los interesados en denunciar actos de corrupción </w:t>
            </w:r>
            <w:r>
              <w:lastRenderedPageBreak/>
              <w:t>pueden hacer uso de ellos.</w:t>
            </w:r>
          </w:p>
          <w:p w14:paraId="7F920A2B" w14:textId="4CECD2BA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209D17DF" w14:textId="64714B3F" w:rsidR="008A68D4" w:rsidRDefault="008A68D4" w:rsidP="00E7129D">
            <w:pPr>
              <w:jc w:val="both"/>
            </w:pPr>
            <w:r>
              <w:lastRenderedPageBreak/>
              <w:t xml:space="preserve">Recibir y tramitar las denuncias de actos de corrupción, a través de los canales de atención de denuncia y </w:t>
            </w:r>
            <w:r w:rsidR="006A7532">
              <w:t>de acuerdo con el</w:t>
            </w:r>
            <w:r>
              <w:t xml:space="preserve"> procedimiento </w:t>
            </w:r>
            <w:r w:rsidR="000923AC">
              <w:t>e</w:t>
            </w:r>
            <w:r>
              <w:t>stablecido.</w:t>
            </w:r>
          </w:p>
        </w:tc>
        <w:tc>
          <w:tcPr>
            <w:tcW w:w="2060" w:type="dxa"/>
          </w:tcPr>
          <w:p w14:paraId="7A8B8F03" w14:textId="23CA2101" w:rsidR="008A68D4" w:rsidRPr="00E247C2" w:rsidRDefault="008A68D4" w:rsidP="00C15037">
            <w:pPr>
              <w:jc w:val="both"/>
            </w:pPr>
            <w:r w:rsidRPr="00E247C2">
              <w:t xml:space="preserve"># de Canales utilizados para las denuncias de actos de corrupción-soborno/# de Canales establecidos para las </w:t>
            </w:r>
            <w:r w:rsidRPr="00E247C2">
              <w:lastRenderedPageBreak/>
              <w:t>denuncias en la entidad.</w:t>
            </w:r>
          </w:p>
        </w:tc>
        <w:tc>
          <w:tcPr>
            <w:tcW w:w="2617" w:type="dxa"/>
          </w:tcPr>
          <w:p w14:paraId="4265C498" w14:textId="77777777" w:rsidR="003D7EF7" w:rsidRPr="00E247C2" w:rsidRDefault="00B83233" w:rsidP="009D203C">
            <w:pPr>
              <w:jc w:val="both"/>
              <w:rPr>
                <w:color w:val="000000" w:themeColor="text1"/>
              </w:rPr>
            </w:pPr>
            <w:r w:rsidRPr="00E247C2">
              <w:rPr>
                <w:color w:val="000000" w:themeColor="text1"/>
              </w:rPr>
              <w:lastRenderedPageBreak/>
              <w:t>Subsecretaria General</w:t>
            </w:r>
            <w:r w:rsidR="002C7C33" w:rsidRPr="00E247C2">
              <w:rPr>
                <w:color w:val="000000" w:themeColor="text1"/>
              </w:rPr>
              <w:t xml:space="preserve"> </w:t>
            </w:r>
          </w:p>
          <w:p w14:paraId="37A2B63F" w14:textId="6F5C6DB8" w:rsidR="007F0E77" w:rsidRPr="00E247C2" w:rsidRDefault="007F0E77" w:rsidP="009D203C">
            <w:pPr>
              <w:jc w:val="both"/>
              <w:rPr>
                <w:color w:val="FF0000"/>
              </w:rPr>
            </w:pPr>
          </w:p>
          <w:p w14:paraId="2A5A2C82" w14:textId="4682EFD2" w:rsidR="008A68D4" w:rsidRPr="00E247C2" w:rsidRDefault="007F0E77" w:rsidP="002C7C33">
            <w:pPr>
              <w:jc w:val="both"/>
              <w:rPr>
                <w:color w:val="000000" w:themeColor="text1"/>
              </w:rPr>
            </w:pPr>
            <w:r w:rsidRPr="00E247C2">
              <w:rPr>
                <w:color w:val="000000" w:themeColor="text1"/>
              </w:rPr>
              <w:t xml:space="preserve">Oficina de </w:t>
            </w:r>
            <w:r w:rsidR="008A68D4" w:rsidRPr="00E247C2">
              <w:rPr>
                <w:color w:val="000000" w:themeColor="text1"/>
              </w:rPr>
              <w:t>Control Disciplinario</w:t>
            </w:r>
            <w:r w:rsidR="007E554E" w:rsidRPr="00E247C2">
              <w:rPr>
                <w:color w:val="000000" w:themeColor="text1"/>
              </w:rPr>
              <w:t xml:space="preserve"> Interno</w:t>
            </w:r>
          </w:p>
          <w:p w14:paraId="379915DB" w14:textId="06E83F97" w:rsidR="000923AC" w:rsidRPr="00E247C2" w:rsidRDefault="000923AC" w:rsidP="002C7C33">
            <w:pPr>
              <w:jc w:val="both"/>
              <w:rPr>
                <w:color w:val="000000" w:themeColor="text1"/>
              </w:rPr>
            </w:pPr>
          </w:p>
          <w:p w14:paraId="16DC2CD8" w14:textId="60A2ADDA" w:rsidR="000923AC" w:rsidRPr="00E247C2" w:rsidRDefault="000923AC" w:rsidP="002C7C33">
            <w:pPr>
              <w:jc w:val="both"/>
              <w:rPr>
                <w:color w:val="000000" w:themeColor="text1"/>
              </w:rPr>
            </w:pPr>
            <w:r w:rsidRPr="00E247C2">
              <w:rPr>
                <w:color w:val="000000" w:themeColor="text1"/>
              </w:rPr>
              <w:t>Dirección Legal Ambiental</w:t>
            </w:r>
          </w:p>
          <w:p w14:paraId="68367C0C" w14:textId="77777777" w:rsidR="007F0E77" w:rsidRPr="00E247C2" w:rsidRDefault="007F0E77" w:rsidP="002C7C33">
            <w:pPr>
              <w:jc w:val="both"/>
              <w:rPr>
                <w:color w:val="FF0000"/>
              </w:rPr>
            </w:pPr>
          </w:p>
          <w:p w14:paraId="2DF36DF7" w14:textId="77777777" w:rsidR="007F0E77" w:rsidRPr="00E247C2" w:rsidRDefault="007F0E77" w:rsidP="002C7C33">
            <w:pPr>
              <w:jc w:val="both"/>
              <w:rPr>
                <w:color w:val="FF0000"/>
              </w:rPr>
            </w:pPr>
          </w:p>
          <w:p w14:paraId="00BEBB31" w14:textId="77777777" w:rsidR="007F0E77" w:rsidRPr="00E247C2" w:rsidRDefault="007F0E77" w:rsidP="002C7C33">
            <w:pPr>
              <w:jc w:val="both"/>
              <w:rPr>
                <w:color w:val="FF0000"/>
              </w:rPr>
            </w:pPr>
          </w:p>
          <w:p w14:paraId="540B1BE6" w14:textId="77777777" w:rsidR="007F0E77" w:rsidRPr="00E247C2" w:rsidRDefault="007F0E77" w:rsidP="002C7C33">
            <w:pPr>
              <w:jc w:val="both"/>
              <w:rPr>
                <w:color w:val="FF0000"/>
              </w:rPr>
            </w:pPr>
          </w:p>
          <w:p w14:paraId="45A9906A" w14:textId="450DFF00" w:rsidR="007F0E77" w:rsidRPr="00E247C2" w:rsidRDefault="007F0E77" w:rsidP="00EE7B21">
            <w:pPr>
              <w:jc w:val="both"/>
            </w:pPr>
          </w:p>
        </w:tc>
        <w:tc>
          <w:tcPr>
            <w:tcW w:w="1567" w:type="dxa"/>
          </w:tcPr>
          <w:p w14:paraId="0EF5DC8F" w14:textId="4C8B459E" w:rsidR="008A68D4" w:rsidRPr="00E247C2" w:rsidRDefault="000923AC" w:rsidP="009D203C">
            <w:pPr>
              <w:jc w:val="both"/>
            </w:pPr>
            <w:r w:rsidRPr="00E247C2">
              <w:lastRenderedPageBreak/>
              <w:t>T</w:t>
            </w:r>
            <w:r w:rsidR="008A68D4" w:rsidRPr="00E247C2">
              <w:t>rimestral</w:t>
            </w:r>
          </w:p>
        </w:tc>
      </w:tr>
      <w:tr w:rsidR="008A68D4" w14:paraId="7DE4D130" w14:textId="77777777" w:rsidTr="00F555DA">
        <w:trPr>
          <w:trHeight w:val="495"/>
        </w:trPr>
        <w:tc>
          <w:tcPr>
            <w:tcW w:w="2511" w:type="dxa"/>
            <w:vMerge/>
          </w:tcPr>
          <w:p w14:paraId="5E32850B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/>
          </w:tcPr>
          <w:p w14:paraId="5326DF1C" w14:textId="77777777" w:rsidR="008A68D4" w:rsidRPr="009D203C" w:rsidRDefault="008A68D4" w:rsidP="009D203C">
            <w:pPr>
              <w:spacing w:after="229" w:line="250" w:lineRule="auto"/>
            </w:pPr>
          </w:p>
        </w:tc>
        <w:tc>
          <w:tcPr>
            <w:tcW w:w="2557" w:type="dxa"/>
            <w:vMerge/>
          </w:tcPr>
          <w:p w14:paraId="154A0ABE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548ADF22" w14:textId="07F631F4" w:rsidR="008A68D4" w:rsidRDefault="008A68D4" w:rsidP="009D203C">
            <w:pPr>
              <w:jc w:val="both"/>
            </w:pPr>
            <w:r>
              <w:t>Brindar respuesta eficiente a la denuncia.</w:t>
            </w:r>
          </w:p>
        </w:tc>
        <w:tc>
          <w:tcPr>
            <w:tcW w:w="2060" w:type="dxa"/>
          </w:tcPr>
          <w:p w14:paraId="5E9DA3B7" w14:textId="0A682D32" w:rsidR="008A68D4" w:rsidRDefault="008A68D4" w:rsidP="009D203C">
            <w:pPr>
              <w:jc w:val="both"/>
            </w:pPr>
            <w:r>
              <w:t># de denuncias con respuesta eficiente/# de denuncias recibidas</w:t>
            </w:r>
          </w:p>
        </w:tc>
        <w:tc>
          <w:tcPr>
            <w:tcW w:w="2617" w:type="dxa"/>
          </w:tcPr>
          <w:p w14:paraId="4580585F" w14:textId="77777777" w:rsidR="009B0EB1" w:rsidRPr="00E247C2" w:rsidRDefault="009B0EB1" w:rsidP="009B0EB1">
            <w:pPr>
              <w:jc w:val="both"/>
              <w:rPr>
                <w:color w:val="000000" w:themeColor="text1"/>
              </w:rPr>
            </w:pPr>
            <w:r w:rsidRPr="00E247C2">
              <w:rPr>
                <w:color w:val="000000" w:themeColor="text1"/>
              </w:rPr>
              <w:t>Dirección Legal Ambiental</w:t>
            </w:r>
          </w:p>
          <w:p w14:paraId="5A67AF3D" w14:textId="77777777" w:rsidR="00EE7B21" w:rsidRPr="00E247C2" w:rsidRDefault="00EE7B21" w:rsidP="00EE7B21">
            <w:pPr>
              <w:jc w:val="both"/>
              <w:rPr>
                <w:color w:val="000000" w:themeColor="text1"/>
              </w:rPr>
            </w:pPr>
          </w:p>
          <w:p w14:paraId="6E9EF975" w14:textId="56FA6265" w:rsidR="008A68D4" w:rsidRPr="00E247C2" w:rsidRDefault="008A68D4" w:rsidP="009D203C">
            <w:pPr>
              <w:jc w:val="both"/>
            </w:pPr>
          </w:p>
        </w:tc>
        <w:tc>
          <w:tcPr>
            <w:tcW w:w="1567" w:type="dxa"/>
          </w:tcPr>
          <w:p w14:paraId="63D50319" w14:textId="64952CFE" w:rsidR="008A68D4" w:rsidRPr="00E247C2" w:rsidRDefault="000923AC" w:rsidP="009D203C">
            <w:pPr>
              <w:jc w:val="both"/>
            </w:pPr>
            <w:r w:rsidRPr="00E247C2">
              <w:t>T</w:t>
            </w:r>
            <w:r w:rsidR="008A68D4" w:rsidRPr="00E247C2">
              <w:t>rimestral</w:t>
            </w:r>
          </w:p>
        </w:tc>
      </w:tr>
      <w:tr w:rsidR="008A68D4" w14:paraId="41F8DF83" w14:textId="77777777" w:rsidTr="00F555DA">
        <w:trPr>
          <w:trHeight w:val="1186"/>
        </w:trPr>
        <w:tc>
          <w:tcPr>
            <w:tcW w:w="2511" w:type="dxa"/>
            <w:vMerge/>
          </w:tcPr>
          <w:p w14:paraId="4E3A08FC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/>
          </w:tcPr>
          <w:p w14:paraId="237790C7" w14:textId="77777777" w:rsidR="008A68D4" w:rsidRPr="009D203C" w:rsidRDefault="008A68D4" w:rsidP="009D203C">
            <w:pPr>
              <w:spacing w:after="229" w:line="250" w:lineRule="auto"/>
            </w:pPr>
          </w:p>
        </w:tc>
        <w:tc>
          <w:tcPr>
            <w:tcW w:w="2557" w:type="dxa"/>
            <w:vMerge/>
          </w:tcPr>
          <w:p w14:paraId="3CF9E4FB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59D23DFC" w14:textId="0AE71936" w:rsidR="008A68D4" w:rsidRDefault="008A68D4" w:rsidP="009D203C">
            <w:pPr>
              <w:jc w:val="both"/>
            </w:pPr>
            <w:r>
              <w:t>Brindar información pública clara, organizada y unificada sobre las etapas de la denuncia.</w:t>
            </w:r>
          </w:p>
        </w:tc>
        <w:tc>
          <w:tcPr>
            <w:tcW w:w="2060" w:type="dxa"/>
          </w:tcPr>
          <w:p w14:paraId="3F92F26A" w14:textId="1FD499C4" w:rsidR="008A68D4" w:rsidRDefault="008A68D4" w:rsidP="009D203C">
            <w:pPr>
              <w:jc w:val="both"/>
            </w:pPr>
            <w:r>
              <w:t>1 informe publicado</w:t>
            </w:r>
          </w:p>
        </w:tc>
        <w:tc>
          <w:tcPr>
            <w:tcW w:w="2617" w:type="dxa"/>
          </w:tcPr>
          <w:p w14:paraId="3F3CEB77" w14:textId="77777777" w:rsidR="00EE7B21" w:rsidRPr="00E247C2" w:rsidRDefault="00EE7B21" w:rsidP="00EE7B21">
            <w:pPr>
              <w:jc w:val="both"/>
              <w:rPr>
                <w:color w:val="000000" w:themeColor="text1"/>
              </w:rPr>
            </w:pPr>
            <w:r w:rsidRPr="00E247C2">
              <w:rPr>
                <w:color w:val="000000" w:themeColor="text1"/>
              </w:rPr>
              <w:t>Subsecretaria General</w:t>
            </w:r>
          </w:p>
          <w:p w14:paraId="1F21FD10" w14:textId="77777777" w:rsidR="00EE7B21" w:rsidRPr="00E247C2" w:rsidRDefault="00EE7B21" w:rsidP="00EE7B21">
            <w:pPr>
              <w:jc w:val="both"/>
              <w:rPr>
                <w:color w:val="000000" w:themeColor="text1"/>
              </w:rPr>
            </w:pPr>
          </w:p>
          <w:p w14:paraId="71A0CD5A" w14:textId="609E9A51" w:rsidR="008A68D4" w:rsidRPr="00E247C2" w:rsidRDefault="008A68D4" w:rsidP="009D203C">
            <w:pPr>
              <w:jc w:val="both"/>
            </w:pPr>
          </w:p>
        </w:tc>
        <w:tc>
          <w:tcPr>
            <w:tcW w:w="1567" w:type="dxa"/>
          </w:tcPr>
          <w:p w14:paraId="40F2E99C" w14:textId="2AC058B7" w:rsidR="008A68D4" w:rsidRPr="00E247C2" w:rsidRDefault="007C25EC" w:rsidP="009D203C">
            <w:pPr>
              <w:jc w:val="both"/>
            </w:pPr>
            <w:r w:rsidRPr="00E247C2">
              <w:t>T</w:t>
            </w:r>
            <w:r w:rsidR="008A68D4" w:rsidRPr="00E247C2">
              <w:t>rimestral</w:t>
            </w:r>
          </w:p>
        </w:tc>
      </w:tr>
      <w:tr w:rsidR="008A68D4" w14:paraId="3B1A5A0B" w14:textId="77777777" w:rsidTr="00F555DA">
        <w:trPr>
          <w:trHeight w:val="935"/>
        </w:trPr>
        <w:tc>
          <w:tcPr>
            <w:tcW w:w="2511" w:type="dxa"/>
            <w:vMerge/>
          </w:tcPr>
          <w:p w14:paraId="03A37644" w14:textId="77777777" w:rsidR="008A68D4" w:rsidRDefault="008A68D4" w:rsidP="009D203C">
            <w:pPr>
              <w:jc w:val="both"/>
            </w:pPr>
          </w:p>
        </w:tc>
        <w:tc>
          <w:tcPr>
            <w:tcW w:w="2304" w:type="dxa"/>
            <w:vMerge/>
          </w:tcPr>
          <w:p w14:paraId="30FCC1BB" w14:textId="77777777" w:rsidR="008A68D4" w:rsidRPr="009D203C" w:rsidRDefault="008A68D4" w:rsidP="009D203C">
            <w:pPr>
              <w:spacing w:after="229" w:line="250" w:lineRule="auto"/>
            </w:pPr>
          </w:p>
        </w:tc>
        <w:tc>
          <w:tcPr>
            <w:tcW w:w="2557" w:type="dxa"/>
            <w:vMerge/>
          </w:tcPr>
          <w:p w14:paraId="6BA0F128" w14:textId="77777777" w:rsidR="008A68D4" w:rsidRDefault="008A68D4" w:rsidP="009D203C">
            <w:pPr>
              <w:jc w:val="both"/>
            </w:pPr>
          </w:p>
        </w:tc>
        <w:tc>
          <w:tcPr>
            <w:tcW w:w="2688" w:type="dxa"/>
          </w:tcPr>
          <w:p w14:paraId="18507DA6" w14:textId="7F34497A" w:rsidR="008A68D4" w:rsidRDefault="008A68D4" w:rsidP="009D203C">
            <w:pPr>
              <w:jc w:val="both"/>
            </w:pPr>
            <w:r>
              <w:t>Difundir los mecanismos de denuncia y protección al denunciante.</w:t>
            </w:r>
          </w:p>
        </w:tc>
        <w:tc>
          <w:tcPr>
            <w:tcW w:w="2060" w:type="dxa"/>
          </w:tcPr>
          <w:p w14:paraId="2A20FCAD" w14:textId="1C15F29E" w:rsidR="008A68D4" w:rsidRDefault="008A68D4" w:rsidP="009D203C">
            <w:pPr>
              <w:jc w:val="both"/>
            </w:pPr>
            <w:r>
              <w:t>#de publicaciones periódicas sobre los mecanismos de denuncia y protección al denunciante</w:t>
            </w:r>
          </w:p>
        </w:tc>
        <w:tc>
          <w:tcPr>
            <w:tcW w:w="2617" w:type="dxa"/>
          </w:tcPr>
          <w:p w14:paraId="56BA8C5A" w14:textId="2C779AA4" w:rsidR="00EE7B21" w:rsidRPr="00E247C2" w:rsidRDefault="00A008F5" w:rsidP="00EE7B21">
            <w:pPr>
              <w:jc w:val="both"/>
              <w:rPr>
                <w:color w:val="000000" w:themeColor="text1"/>
              </w:rPr>
            </w:pPr>
            <w:r w:rsidRPr="00E247C2">
              <w:rPr>
                <w:color w:val="000000" w:themeColor="text1"/>
                <w:lang w:val="es-MX"/>
              </w:rPr>
              <w:t xml:space="preserve">* </w:t>
            </w:r>
            <w:r w:rsidR="00EE7B21" w:rsidRPr="00E247C2">
              <w:rPr>
                <w:color w:val="000000" w:themeColor="text1"/>
              </w:rPr>
              <w:t>Subsecretaria General</w:t>
            </w:r>
          </w:p>
          <w:p w14:paraId="4DA746B1" w14:textId="77777777" w:rsidR="00EE7B21" w:rsidRPr="00E247C2" w:rsidRDefault="00EE7B21" w:rsidP="00EE7B21">
            <w:pPr>
              <w:jc w:val="both"/>
              <w:rPr>
                <w:color w:val="000000" w:themeColor="text1"/>
              </w:rPr>
            </w:pPr>
          </w:p>
          <w:p w14:paraId="7F9EA406" w14:textId="30921F76" w:rsidR="00EE7B21" w:rsidRPr="00E247C2" w:rsidRDefault="00BF5121" w:rsidP="00EE7B21">
            <w:pPr>
              <w:jc w:val="both"/>
              <w:rPr>
                <w:color w:val="000000" w:themeColor="text1"/>
              </w:rPr>
            </w:pPr>
            <w:r w:rsidRPr="00E247C2">
              <w:rPr>
                <w:color w:val="000000" w:themeColor="text1"/>
                <w:lang w:val="es-MX"/>
              </w:rPr>
              <w:t>*Oficina de Comunicaciones</w:t>
            </w:r>
            <w:r w:rsidRPr="00E247C2">
              <w:rPr>
                <w:color w:val="000000" w:themeColor="text1"/>
                <w:lang w:val="es-MX"/>
              </w:rPr>
              <w:br/>
            </w:r>
            <w:r w:rsidRPr="00E247C2">
              <w:rPr>
                <w:color w:val="000000" w:themeColor="text1"/>
                <w:lang w:val="es-MX"/>
              </w:rPr>
              <w:br/>
              <w:t>*Dirección de Gestión Corporativa</w:t>
            </w:r>
            <w:r w:rsidRPr="00E247C2">
              <w:rPr>
                <w:color w:val="000000" w:themeColor="text1"/>
                <w:lang w:val="es-MX"/>
              </w:rPr>
              <w:br/>
            </w:r>
            <w:r w:rsidRPr="00E247C2">
              <w:rPr>
                <w:color w:val="000000" w:themeColor="text1"/>
                <w:lang w:val="es-MX"/>
              </w:rPr>
              <w:br/>
              <w:t>*Gestores de Integridad</w:t>
            </w:r>
          </w:p>
          <w:p w14:paraId="62F1155B" w14:textId="036A8FF3" w:rsidR="008A68D4" w:rsidRPr="00E247C2" w:rsidRDefault="008A68D4" w:rsidP="009D203C">
            <w:pPr>
              <w:jc w:val="both"/>
            </w:pPr>
          </w:p>
        </w:tc>
        <w:tc>
          <w:tcPr>
            <w:tcW w:w="1567" w:type="dxa"/>
          </w:tcPr>
          <w:p w14:paraId="55CD2BE8" w14:textId="29390E36" w:rsidR="008A68D4" w:rsidRPr="00E247C2" w:rsidRDefault="007C25EC" w:rsidP="009D203C">
            <w:pPr>
              <w:jc w:val="both"/>
            </w:pPr>
            <w:r w:rsidRPr="00E247C2">
              <w:t>T</w:t>
            </w:r>
            <w:r w:rsidR="008A68D4" w:rsidRPr="00E247C2">
              <w:t>rimestral</w:t>
            </w:r>
          </w:p>
        </w:tc>
      </w:tr>
      <w:tr w:rsidR="00CF4890" w:rsidRPr="00F349AA" w14:paraId="59916A21" w14:textId="091B0D6E" w:rsidTr="00F555DA">
        <w:trPr>
          <w:trHeight w:val="1118"/>
        </w:trPr>
        <w:tc>
          <w:tcPr>
            <w:tcW w:w="2511" w:type="dxa"/>
            <w:vMerge w:val="restart"/>
          </w:tcPr>
          <w:p w14:paraId="0C03CB91" w14:textId="47DD8D25" w:rsidR="00C7343A" w:rsidRPr="004B3066" w:rsidRDefault="00C7343A" w:rsidP="00E7129D">
            <w:pPr>
              <w:jc w:val="both"/>
              <w:rPr>
                <w:b/>
                <w:bCs/>
              </w:rPr>
            </w:pPr>
            <w:r w:rsidRPr="004B3066">
              <w:rPr>
                <w:b/>
                <w:bCs/>
              </w:rPr>
              <w:lastRenderedPageBreak/>
              <w:t>Divulgación, Capacitación y Sensibilización</w:t>
            </w:r>
          </w:p>
        </w:tc>
        <w:tc>
          <w:tcPr>
            <w:tcW w:w="2304" w:type="dxa"/>
            <w:vMerge w:val="restart"/>
          </w:tcPr>
          <w:p w14:paraId="08A52117" w14:textId="2348EE4A" w:rsidR="00C7343A" w:rsidRPr="009D203C" w:rsidRDefault="00C7343A" w:rsidP="00E7129D">
            <w:pPr>
              <w:spacing w:after="229" w:line="250" w:lineRule="auto"/>
              <w:jc w:val="both"/>
            </w:pPr>
            <w:r>
              <w:t>Divulgar, Capacitar, sensibilizar a los funcionarios y contratista vinculados a la SDA sobre la Política antisoborno.</w:t>
            </w:r>
          </w:p>
        </w:tc>
        <w:tc>
          <w:tcPr>
            <w:tcW w:w="2557" w:type="dxa"/>
            <w:vMerge w:val="restart"/>
          </w:tcPr>
          <w:p w14:paraId="0FCC1FD4" w14:textId="24EDC47C" w:rsidR="00C7343A" w:rsidRDefault="00C7343A" w:rsidP="00E7129D">
            <w:pPr>
              <w:jc w:val="both"/>
            </w:pPr>
            <w:r>
              <w:t>Comunicar, socializar y capacitar a funcionarios y contratistas vinculados a la SDA sobre la Política Antisoborno.</w:t>
            </w:r>
          </w:p>
          <w:p w14:paraId="41F337A9" w14:textId="05790BF3" w:rsidR="00C7343A" w:rsidRDefault="00C7343A" w:rsidP="00E7129D">
            <w:pPr>
              <w:jc w:val="both"/>
            </w:pPr>
          </w:p>
        </w:tc>
        <w:tc>
          <w:tcPr>
            <w:tcW w:w="2688" w:type="dxa"/>
          </w:tcPr>
          <w:p w14:paraId="2AAB331A" w14:textId="7A6BE393" w:rsidR="00C7343A" w:rsidRDefault="00C7343A" w:rsidP="00E7129D">
            <w:pPr>
              <w:jc w:val="both"/>
            </w:pPr>
            <w:r>
              <w:t>Elaborar piezas y campañas comunicativas para la divulgación de la política antisoborno.</w:t>
            </w:r>
          </w:p>
        </w:tc>
        <w:tc>
          <w:tcPr>
            <w:tcW w:w="2060" w:type="dxa"/>
          </w:tcPr>
          <w:p w14:paraId="267156B7" w14:textId="52EF26AE" w:rsidR="00C7343A" w:rsidRDefault="00CF4890" w:rsidP="00E7129D">
            <w:pPr>
              <w:jc w:val="both"/>
            </w:pPr>
            <w:r>
              <w:t># piezas y/o campañas comunicativas de divulgación de política antisoborno realizadas</w:t>
            </w:r>
          </w:p>
        </w:tc>
        <w:tc>
          <w:tcPr>
            <w:tcW w:w="2617" w:type="dxa"/>
          </w:tcPr>
          <w:p w14:paraId="2E668519" w14:textId="040786D3" w:rsidR="00C7343A" w:rsidRDefault="00C7343A" w:rsidP="00E7129D">
            <w:pPr>
              <w:jc w:val="both"/>
            </w:pPr>
            <w:r>
              <w:t>Oficina de Comunicaciones</w:t>
            </w:r>
          </w:p>
          <w:p w14:paraId="2FCBFDE2" w14:textId="77777777" w:rsidR="00EE7B21" w:rsidRDefault="00EE7B21" w:rsidP="00E7129D">
            <w:pPr>
              <w:jc w:val="both"/>
            </w:pPr>
          </w:p>
          <w:p w14:paraId="2C1E7CBF" w14:textId="3FD7878A" w:rsidR="00C7343A" w:rsidRDefault="00C7343A" w:rsidP="00E7129D">
            <w:pPr>
              <w:jc w:val="both"/>
            </w:pPr>
            <w:r>
              <w:t>Dirección de Gestión Corporativa</w:t>
            </w:r>
          </w:p>
          <w:p w14:paraId="4A779B10" w14:textId="77777777" w:rsidR="00EE7B21" w:rsidRDefault="00EE7B21" w:rsidP="00E7129D">
            <w:pPr>
              <w:jc w:val="both"/>
            </w:pPr>
          </w:p>
          <w:p w14:paraId="04D424B8" w14:textId="6A64C729" w:rsidR="00C7343A" w:rsidRDefault="00C7343A" w:rsidP="00E7129D">
            <w:pPr>
              <w:jc w:val="both"/>
            </w:pPr>
            <w:r>
              <w:t>Gestores de Integridad</w:t>
            </w:r>
          </w:p>
        </w:tc>
        <w:tc>
          <w:tcPr>
            <w:tcW w:w="1567" w:type="dxa"/>
            <w:vMerge w:val="restart"/>
          </w:tcPr>
          <w:p w14:paraId="6DDEE044" w14:textId="41C2BD2F" w:rsidR="00C7343A" w:rsidRPr="00F349AA" w:rsidRDefault="000E22A4" w:rsidP="00E7129D">
            <w:pPr>
              <w:jc w:val="both"/>
            </w:pPr>
            <w:r w:rsidRPr="00F349AA">
              <w:t>Semestral</w:t>
            </w:r>
          </w:p>
        </w:tc>
      </w:tr>
      <w:tr w:rsidR="00CF4890" w14:paraId="57DF9847" w14:textId="77777777" w:rsidTr="00F555DA">
        <w:trPr>
          <w:trHeight w:val="1128"/>
        </w:trPr>
        <w:tc>
          <w:tcPr>
            <w:tcW w:w="2511" w:type="dxa"/>
            <w:vMerge/>
          </w:tcPr>
          <w:p w14:paraId="11840F90" w14:textId="77777777" w:rsidR="00C7343A" w:rsidRPr="004B3066" w:rsidRDefault="00C7343A" w:rsidP="00E7129D">
            <w:pPr>
              <w:jc w:val="both"/>
              <w:rPr>
                <w:b/>
                <w:bCs/>
              </w:rPr>
            </w:pPr>
          </w:p>
        </w:tc>
        <w:tc>
          <w:tcPr>
            <w:tcW w:w="2304" w:type="dxa"/>
            <w:vMerge/>
          </w:tcPr>
          <w:p w14:paraId="1255BA7E" w14:textId="77777777" w:rsidR="00C7343A" w:rsidRDefault="00C7343A" w:rsidP="00E7129D">
            <w:pPr>
              <w:spacing w:after="229" w:line="250" w:lineRule="auto"/>
              <w:jc w:val="both"/>
            </w:pPr>
          </w:p>
        </w:tc>
        <w:tc>
          <w:tcPr>
            <w:tcW w:w="2557" w:type="dxa"/>
            <w:vMerge/>
          </w:tcPr>
          <w:p w14:paraId="7DE02992" w14:textId="77777777" w:rsidR="00C7343A" w:rsidRDefault="00C7343A" w:rsidP="00E7129D">
            <w:pPr>
              <w:jc w:val="both"/>
            </w:pPr>
          </w:p>
        </w:tc>
        <w:tc>
          <w:tcPr>
            <w:tcW w:w="2688" w:type="dxa"/>
          </w:tcPr>
          <w:p w14:paraId="1BA7AFEA" w14:textId="2F5AC332" w:rsidR="00C7343A" w:rsidRDefault="00C7343A" w:rsidP="00E7129D">
            <w:pPr>
              <w:jc w:val="both"/>
            </w:pPr>
            <w:r>
              <w:t>Realizar capacitación y Procesos de Inducción y Reinducción, en los que se establezca el compromiso de los funcionarios y contratistas de la SDA con la Política antisoborno.</w:t>
            </w:r>
          </w:p>
        </w:tc>
        <w:tc>
          <w:tcPr>
            <w:tcW w:w="2060" w:type="dxa"/>
          </w:tcPr>
          <w:p w14:paraId="5F570AA2" w14:textId="77777777" w:rsidR="00CF4890" w:rsidRDefault="00CF4890" w:rsidP="00E7129D">
            <w:pPr>
              <w:jc w:val="both"/>
            </w:pPr>
            <w:r>
              <w:t># de funcionarios y contratistas capacitados / # total de funcionarios y contratistas de la entidad.</w:t>
            </w:r>
          </w:p>
          <w:p w14:paraId="734F2C5F" w14:textId="7F4DA801" w:rsidR="00C7343A" w:rsidRDefault="00CF4890" w:rsidP="00E7129D">
            <w:pPr>
              <w:jc w:val="both"/>
            </w:pPr>
            <w:r>
              <w:t># de procesos de capacitación realizados/ # de procesos de capacitación programados</w:t>
            </w:r>
          </w:p>
        </w:tc>
        <w:tc>
          <w:tcPr>
            <w:tcW w:w="2617" w:type="dxa"/>
          </w:tcPr>
          <w:p w14:paraId="4CFE30E5" w14:textId="77777777" w:rsidR="000E22A4" w:rsidRDefault="000E22A4" w:rsidP="000E22A4">
            <w:pPr>
              <w:jc w:val="both"/>
            </w:pPr>
          </w:p>
          <w:p w14:paraId="1746BC81" w14:textId="5735FB80" w:rsidR="000E22A4" w:rsidRDefault="000E22A4" w:rsidP="000E22A4">
            <w:pPr>
              <w:jc w:val="both"/>
            </w:pPr>
            <w:r>
              <w:t>Dirección de Gestión Corporativa</w:t>
            </w:r>
          </w:p>
          <w:p w14:paraId="0FBA5D09" w14:textId="77777777" w:rsidR="000E22A4" w:rsidRDefault="000E22A4" w:rsidP="000E22A4">
            <w:pPr>
              <w:jc w:val="both"/>
            </w:pPr>
          </w:p>
          <w:p w14:paraId="0B1470D0" w14:textId="7B8FD046" w:rsidR="00C7343A" w:rsidRDefault="000E22A4" w:rsidP="000E22A4">
            <w:pPr>
              <w:jc w:val="both"/>
            </w:pPr>
            <w:r>
              <w:t>Gestores de Integridad</w:t>
            </w:r>
          </w:p>
        </w:tc>
        <w:tc>
          <w:tcPr>
            <w:tcW w:w="1567" w:type="dxa"/>
            <w:vMerge/>
          </w:tcPr>
          <w:p w14:paraId="2A389602" w14:textId="77777777" w:rsidR="00C7343A" w:rsidRDefault="00C7343A" w:rsidP="00E7129D">
            <w:pPr>
              <w:jc w:val="both"/>
            </w:pPr>
          </w:p>
        </w:tc>
      </w:tr>
      <w:tr w:rsidR="00CF4890" w14:paraId="292E9D26" w14:textId="1A4E9075" w:rsidTr="00F555DA">
        <w:tc>
          <w:tcPr>
            <w:tcW w:w="2511" w:type="dxa"/>
          </w:tcPr>
          <w:p w14:paraId="3B1BDAD8" w14:textId="3E03F0FA" w:rsidR="00C7343A" w:rsidRPr="004B3066" w:rsidRDefault="00C7343A" w:rsidP="00E7129D">
            <w:pPr>
              <w:jc w:val="both"/>
              <w:rPr>
                <w:b/>
                <w:bCs/>
              </w:rPr>
            </w:pPr>
            <w:r w:rsidRPr="004B3066">
              <w:rPr>
                <w:b/>
                <w:bCs/>
              </w:rPr>
              <w:t>Difusión a Terceros</w:t>
            </w:r>
          </w:p>
        </w:tc>
        <w:tc>
          <w:tcPr>
            <w:tcW w:w="2304" w:type="dxa"/>
          </w:tcPr>
          <w:p w14:paraId="36A76AE8" w14:textId="196AD880" w:rsidR="00C7343A" w:rsidRPr="009D203C" w:rsidRDefault="00C7343A" w:rsidP="00E7129D">
            <w:pPr>
              <w:spacing w:after="229" w:line="250" w:lineRule="auto"/>
              <w:jc w:val="both"/>
            </w:pPr>
            <w:r>
              <w:t>Dar a conocer a todas las partes interesadas la Política Antisoborno</w:t>
            </w:r>
          </w:p>
        </w:tc>
        <w:tc>
          <w:tcPr>
            <w:tcW w:w="2557" w:type="dxa"/>
          </w:tcPr>
          <w:p w14:paraId="4FBD2956" w14:textId="76B10F9A" w:rsidR="00C7343A" w:rsidRDefault="00C7343A" w:rsidP="00E7129D">
            <w:pPr>
              <w:jc w:val="both"/>
            </w:pPr>
            <w:r>
              <w:t>Publicar la Política antisoborno en la Página web de la entidad.</w:t>
            </w:r>
          </w:p>
        </w:tc>
        <w:tc>
          <w:tcPr>
            <w:tcW w:w="2688" w:type="dxa"/>
          </w:tcPr>
          <w:p w14:paraId="26E7A707" w14:textId="3EB3C144" w:rsidR="00C7343A" w:rsidRDefault="00C7343A" w:rsidP="00E7129D">
            <w:pPr>
              <w:jc w:val="both"/>
            </w:pPr>
            <w:r>
              <w:t>Difundir en el link de “Transparencia y Acceso a la información pública”.</w:t>
            </w:r>
          </w:p>
        </w:tc>
        <w:tc>
          <w:tcPr>
            <w:tcW w:w="2060" w:type="dxa"/>
          </w:tcPr>
          <w:p w14:paraId="15480E30" w14:textId="77777777" w:rsidR="00C7343A" w:rsidRDefault="008A68D4" w:rsidP="00E7129D">
            <w:pPr>
              <w:jc w:val="both"/>
            </w:pPr>
            <w:r>
              <w:t>1 publicación en la página web de la política antisoborno</w:t>
            </w:r>
            <w:r w:rsidR="000E22A4">
              <w:t>.</w:t>
            </w:r>
          </w:p>
          <w:p w14:paraId="4D3651D9" w14:textId="0B4D3583" w:rsidR="000E22A4" w:rsidRDefault="000E22A4" w:rsidP="00E7129D">
            <w:pPr>
              <w:jc w:val="both"/>
            </w:pPr>
            <w:r>
              <w:t>(revisar modificación y actualizar)</w:t>
            </w:r>
          </w:p>
        </w:tc>
        <w:tc>
          <w:tcPr>
            <w:tcW w:w="2617" w:type="dxa"/>
          </w:tcPr>
          <w:p w14:paraId="1FFF88C4" w14:textId="3F6628C1" w:rsidR="00C7343A" w:rsidRDefault="00C7343A" w:rsidP="00E7129D">
            <w:pPr>
              <w:jc w:val="both"/>
            </w:pPr>
            <w:r>
              <w:t>Dirección de Planeación y Sistemas de Información Ambiental.</w:t>
            </w:r>
          </w:p>
        </w:tc>
        <w:tc>
          <w:tcPr>
            <w:tcW w:w="1567" w:type="dxa"/>
          </w:tcPr>
          <w:p w14:paraId="5308A6CE" w14:textId="5E844122" w:rsidR="00C7343A" w:rsidRDefault="000E22A4" w:rsidP="00E7129D">
            <w:pPr>
              <w:jc w:val="both"/>
            </w:pPr>
            <w:r>
              <w:t>Anual</w:t>
            </w:r>
          </w:p>
        </w:tc>
      </w:tr>
    </w:tbl>
    <w:p w14:paraId="5B338F93" w14:textId="77777777" w:rsidR="00F6191A" w:rsidRDefault="00846D99"/>
    <w:sectPr w:rsidR="00F6191A" w:rsidSect="009119ED">
      <w:headerReference w:type="default" r:id="rId7"/>
      <w:footerReference w:type="default" r:id="rId8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C7257" w14:textId="77777777" w:rsidR="00846D99" w:rsidRDefault="00846D99" w:rsidP="0067485A">
      <w:pPr>
        <w:spacing w:after="0" w:line="240" w:lineRule="auto"/>
      </w:pPr>
      <w:r>
        <w:separator/>
      </w:r>
    </w:p>
  </w:endnote>
  <w:endnote w:type="continuationSeparator" w:id="0">
    <w:p w14:paraId="2222957C" w14:textId="77777777" w:rsidR="00846D99" w:rsidRDefault="00846D99" w:rsidP="00674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981B" w14:textId="77777777" w:rsidR="008A68D4" w:rsidRDefault="008A68D4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30E791D3" w14:textId="77777777" w:rsidR="008A68D4" w:rsidRDefault="008A6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8F13B" w14:textId="77777777" w:rsidR="00846D99" w:rsidRDefault="00846D99" w:rsidP="0067485A">
      <w:pPr>
        <w:spacing w:after="0" w:line="240" w:lineRule="auto"/>
      </w:pPr>
      <w:r>
        <w:separator/>
      </w:r>
    </w:p>
  </w:footnote>
  <w:footnote w:type="continuationSeparator" w:id="0">
    <w:p w14:paraId="20451FB5" w14:textId="77777777" w:rsidR="00846D99" w:rsidRDefault="00846D99" w:rsidP="0067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FF4E" w14:textId="4604EB36" w:rsidR="0067485A" w:rsidRDefault="0067485A" w:rsidP="00395FE9">
    <w:pPr>
      <w:pStyle w:val="Encabezado"/>
      <w:jc w:val="center"/>
      <w:rPr>
        <w:b/>
        <w:bCs/>
        <w:sz w:val="32"/>
        <w:szCs w:val="32"/>
        <w:lang w:val="es-MX"/>
      </w:rPr>
    </w:pPr>
    <w:r w:rsidRPr="00395FE9">
      <w:rPr>
        <w:b/>
        <w:bCs/>
        <w:sz w:val="32"/>
        <w:szCs w:val="32"/>
        <w:lang w:val="es-MX"/>
      </w:rPr>
      <w:t>PLAN DE IMPLEMENTACIÓN DE LA POLÍTICA ANTISOBORNO</w:t>
    </w:r>
    <w:r w:rsidR="00F25015">
      <w:rPr>
        <w:b/>
        <w:bCs/>
        <w:sz w:val="32"/>
        <w:szCs w:val="32"/>
        <w:lang w:val="es-MX"/>
      </w:rPr>
      <w:t xml:space="preserve"> </w:t>
    </w:r>
  </w:p>
  <w:p w14:paraId="298E7BAA" w14:textId="67D32531" w:rsidR="008436E9" w:rsidRDefault="00F25015" w:rsidP="00F25015">
    <w:pPr>
      <w:pStyle w:val="Encabezado"/>
      <w:jc w:val="center"/>
      <w:rPr>
        <w:b/>
        <w:bCs/>
        <w:sz w:val="32"/>
        <w:szCs w:val="32"/>
        <w:lang w:val="es-MX"/>
      </w:rPr>
    </w:pPr>
    <w:r w:rsidRPr="009F47C0">
      <w:rPr>
        <w:b/>
        <w:bCs/>
        <w:sz w:val="32"/>
        <w:szCs w:val="32"/>
        <w:lang w:val="es-MX"/>
      </w:rPr>
      <w:t>(</w:t>
    </w:r>
    <w:r w:rsidR="00144655" w:rsidRPr="009F47C0">
      <w:rPr>
        <w:b/>
        <w:bCs/>
        <w:sz w:val="32"/>
        <w:szCs w:val="32"/>
        <w:lang w:val="es-MX"/>
      </w:rPr>
      <w:t>M</w:t>
    </w:r>
    <w:r w:rsidRPr="009F47C0">
      <w:rPr>
        <w:b/>
        <w:bCs/>
        <w:sz w:val="32"/>
        <w:szCs w:val="32"/>
        <w:lang w:val="es-MX"/>
      </w:rPr>
      <w:t xml:space="preserve">odificación </w:t>
    </w:r>
    <w:r w:rsidR="00144655" w:rsidRPr="009F47C0">
      <w:rPr>
        <w:b/>
        <w:bCs/>
        <w:sz w:val="32"/>
        <w:szCs w:val="32"/>
        <w:lang w:val="es-MX"/>
      </w:rPr>
      <w:t xml:space="preserve">septiembre </w:t>
    </w:r>
    <w:r w:rsidRPr="009F47C0">
      <w:rPr>
        <w:b/>
        <w:bCs/>
        <w:sz w:val="32"/>
        <w:szCs w:val="32"/>
        <w:lang w:val="es-MX"/>
      </w:rPr>
      <w:t>2022)</w:t>
    </w:r>
  </w:p>
  <w:p w14:paraId="4A37E0B0" w14:textId="33ACDFA7" w:rsidR="00AD4E41" w:rsidRPr="00395FE9" w:rsidRDefault="00AD4E41" w:rsidP="00395FE9">
    <w:pPr>
      <w:pStyle w:val="Encabezado"/>
      <w:jc w:val="center"/>
      <w:rPr>
        <w:b/>
        <w:bCs/>
        <w:sz w:val="32"/>
        <w:szCs w:val="32"/>
        <w:lang w:val="es-MX"/>
      </w:rPr>
    </w:pPr>
    <w:r>
      <w:rPr>
        <w:b/>
        <w:bCs/>
        <w:sz w:val="32"/>
        <w:szCs w:val="32"/>
        <w:lang w:val="es-MX"/>
      </w:rPr>
      <w:t>SECRETARÍA DISTRITAL DE AMBIENTE</w:t>
    </w: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48"/>
      <w:gridCol w:w="1606"/>
      <w:gridCol w:w="1987"/>
      <w:gridCol w:w="2309"/>
      <w:gridCol w:w="1693"/>
      <w:gridCol w:w="2027"/>
      <w:gridCol w:w="1326"/>
    </w:tblGrid>
    <w:tr w:rsidR="00C7343A" w:rsidRPr="00253F83" w14:paraId="400D8B95" w14:textId="77777777" w:rsidTr="008A68D4">
      <w:tc>
        <w:tcPr>
          <w:tcW w:w="2511" w:type="dxa"/>
        </w:tcPr>
        <w:p w14:paraId="47A41B02" w14:textId="77777777" w:rsidR="00C7343A" w:rsidRPr="00253F83" w:rsidRDefault="00C7343A" w:rsidP="00114B95">
          <w:pPr>
            <w:jc w:val="center"/>
            <w:rPr>
              <w:b/>
              <w:bCs/>
            </w:rPr>
          </w:pPr>
          <w:r w:rsidRPr="00253F83">
            <w:rPr>
              <w:b/>
              <w:bCs/>
            </w:rPr>
            <w:t>LINEAMIENTO ANTISOBORNO</w:t>
          </w:r>
        </w:p>
      </w:tc>
      <w:tc>
        <w:tcPr>
          <w:tcW w:w="2304" w:type="dxa"/>
        </w:tcPr>
        <w:p w14:paraId="7DACE6F3" w14:textId="77777777" w:rsidR="00C7343A" w:rsidRPr="00253F83" w:rsidRDefault="00C7343A" w:rsidP="00114B95">
          <w:pPr>
            <w:jc w:val="center"/>
            <w:rPr>
              <w:b/>
              <w:bCs/>
            </w:rPr>
          </w:pPr>
          <w:r w:rsidRPr="00253F83">
            <w:rPr>
              <w:b/>
              <w:bCs/>
            </w:rPr>
            <w:t>ACCIÓN</w:t>
          </w:r>
        </w:p>
      </w:tc>
      <w:tc>
        <w:tcPr>
          <w:tcW w:w="2551" w:type="dxa"/>
        </w:tcPr>
        <w:p w14:paraId="6D250690" w14:textId="77777777" w:rsidR="00C7343A" w:rsidRPr="00253F83" w:rsidRDefault="00C7343A" w:rsidP="00114B95">
          <w:pPr>
            <w:jc w:val="center"/>
            <w:rPr>
              <w:b/>
              <w:bCs/>
            </w:rPr>
          </w:pPr>
          <w:r w:rsidRPr="00253F83">
            <w:rPr>
              <w:b/>
              <w:bCs/>
            </w:rPr>
            <w:t>ACTIVIDADES</w:t>
          </w:r>
        </w:p>
      </w:tc>
      <w:tc>
        <w:tcPr>
          <w:tcW w:w="2694" w:type="dxa"/>
        </w:tcPr>
        <w:p w14:paraId="4079C01E" w14:textId="120DAD6A" w:rsidR="00C7343A" w:rsidRPr="00253F83" w:rsidRDefault="00C7343A" w:rsidP="00114B95">
          <w:pPr>
            <w:jc w:val="center"/>
            <w:rPr>
              <w:b/>
              <w:bCs/>
            </w:rPr>
          </w:pPr>
          <w:r w:rsidRPr="00253F83">
            <w:rPr>
              <w:b/>
              <w:bCs/>
            </w:rPr>
            <w:t>IMPLEMENTACIÓN</w:t>
          </w:r>
        </w:p>
      </w:tc>
      <w:tc>
        <w:tcPr>
          <w:tcW w:w="2126" w:type="dxa"/>
        </w:tcPr>
        <w:p w14:paraId="19CC17D7" w14:textId="1731E533" w:rsidR="00C7343A" w:rsidRPr="00253F83" w:rsidRDefault="00C7343A" w:rsidP="00114B95">
          <w:pPr>
            <w:jc w:val="center"/>
            <w:rPr>
              <w:b/>
              <w:bCs/>
            </w:rPr>
          </w:pPr>
          <w:r>
            <w:rPr>
              <w:b/>
              <w:bCs/>
            </w:rPr>
            <w:t>INDICADOR</w:t>
          </w:r>
        </w:p>
      </w:tc>
      <w:tc>
        <w:tcPr>
          <w:tcW w:w="2551" w:type="dxa"/>
        </w:tcPr>
        <w:p w14:paraId="77ED0853" w14:textId="138B1273" w:rsidR="00C7343A" w:rsidRDefault="00C7343A" w:rsidP="00114B95">
          <w:pPr>
            <w:jc w:val="center"/>
            <w:rPr>
              <w:b/>
              <w:bCs/>
            </w:rPr>
          </w:pPr>
          <w:r w:rsidRPr="00253F83">
            <w:rPr>
              <w:b/>
              <w:bCs/>
            </w:rPr>
            <w:t>RESPONSABLE</w:t>
          </w:r>
        </w:p>
      </w:tc>
      <w:tc>
        <w:tcPr>
          <w:tcW w:w="1560" w:type="dxa"/>
        </w:tcPr>
        <w:p w14:paraId="45BB5DE2" w14:textId="4085500E" w:rsidR="00C7343A" w:rsidRPr="00253F83" w:rsidRDefault="00546E4E" w:rsidP="00114B95">
          <w:pPr>
            <w:jc w:val="center"/>
            <w:rPr>
              <w:b/>
              <w:bCs/>
            </w:rPr>
          </w:pPr>
          <w:r>
            <w:rPr>
              <w:b/>
              <w:bCs/>
            </w:rPr>
            <w:t>TERMINO O PLAZO</w:t>
          </w:r>
        </w:p>
      </w:tc>
    </w:tr>
  </w:tbl>
  <w:p w14:paraId="27B78CDF" w14:textId="77777777" w:rsidR="0067485A" w:rsidRPr="0067485A" w:rsidRDefault="0067485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E93"/>
    <w:multiLevelType w:val="multilevel"/>
    <w:tmpl w:val="5CB626F8"/>
    <w:lvl w:ilvl="0">
      <w:start w:val="6"/>
      <w:numFmt w:val="decimal"/>
      <w:lvlText w:val="%1"/>
      <w:lvlJc w:val="left"/>
      <w:pPr>
        <w:ind w:left="480" w:hanging="480"/>
      </w:pPr>
      <w:rPr>
        <w:rFonts w:eastAsia="Arial"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eastAsia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AE114EB"/>
    <w:multiLevelType w:val="hybridMultilevel"/>
    <w:tmpl w:val="5E20782E"/>
    <w:lvl w:ilvl="0" w:tplc="B2C6C6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0540"/>
    <w:multiLevelType w:val="hybridMultilevel"/>
    <w:tmpl w:val="798695B8"/>
    <w:lvl w:ilvl="0" w:tplc="E1565F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93B32"/>
    <w:multiLevelType w:val="hybridMultilevel"/>
    <w:tmpl w:val="A306C180"/>
    <w:lvl w:ilvl="0" w:tplc="7E0C2C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6A"/>
    <w:rsid w:val="0000330F"/>
    <w:rsid w:val="00023288"/>
    <w:rsid w:val="00030FEB"/>
    <w:rsid w:val="00075153"/>
    <w:rsid w:val="000923AC"/>
    <w:rsid w:val="000E22A4"/>
    <w:rsid w:val="000E3209"/>
    <w:rsid w:val="00106B85"/>
    <w:rsid w:val="00107A86"/>
    <w:rsid w:val="00114B95"/>
    <w:rsid w:val="0011707B"/>
    <w:rsid w:val="00144655"/>
    <w:rsid w:val="001701FB"/>
    <w:rsid w:val="001B6879"/>
    <w:rsid w:val="00253F83"/>
    <w:rsid w:val="002A36B9"/>
    <w:rsid w:val="002B59BF"/>
    <w:rsid w:val="002C15FE"/>
    <w:rsid w:val="002C7C33"/>
    <w:rsid w:val="002D0B16"/>
    <w:rsid w:val="00341A5C"/>
    <w:rsid w:val="003462F6"/>
    <w:rsid w:val="003727D3"/>
    <w:rsid w:val="003800E3"/>
    <w:rsid w:val="003877A8"/>
    <w:rsid w:val="00395FE9"/>
    <w:rsid w:val="003A1587"/>
    <w:rsid w:val="003D7EF7"/>
    <w:rsid w:val="00404E7D"/>
    <w:rsid w:val="004723E4"/>
    <w:rsid w:val="00482F6A"/>
    <w:rsid w:val="004B3066"/>
    <w:rsid w:val="004C0417"/>
    <w:rsid w:val="004D3247"/>
    <w:rsid w:val="004D3B4C"/>
    <w:rsid w:val="004F2486"/>
    <w:rsid w:val="00546E4E"/>
    <w:rsid w:val="0059379B"/>
    <w:rsid w:val="006247E0"/>
    <w:rsid w:val="006526CE"/>
    <w:rsid w:val="00657BCF"/>
    <w:rsid w:val="0067485A"/>
    <w:rsid w:val="00693F26"/>
    <w:rsid w:val="006A7532"/>
    <w:rsid w:val="006D70A0"/>
    <w:rsid w:val="006D798A"/>
    <w:rsid w:val="007166CB"/>
    <w:rsid w:val="00720216"/>
    <w:rsid w:val="007648F7"/>
    <w:rsid w:val="00770A96"/>
    <w:rsid w:val="00775BE2"/>
    <w:rsid w:val="0078096A"/>
    <w:rsid w:val="007C25EC"/>
    <w:rsid w:val="007E554E"/>
    <w:rsid w:val="007E6FEE"/>
    <w:rsid w:val="007F0E77"/>
    <w:rsid w:val="00804616"/>
    <w:rsid w:val="008436E9"/>
    <w:rsid w:val="00846D99"/>
    <w:rsid w:val="0087710B"/>
    <w:rsid w:val="008A68D4"/>
    <w:rsid w:val="008C2883"/>
    <w:rsid w:val="008D0F32"/>
    <w:rsid w:val="008E0AAD"/>
    <w:rsid w:val="008F5041"/>
    <w:rsid w:val="009119ED"/>
    <w:rsid w:val="00921D17"/>
    <w:rsid w:val="00966D13"/>
    <w:rsid w:val="00980D13"/>
    <w:rsid w:val="00987DEE"/>
    <w:rsid w:val="009B0EB1"/>
    <w:rsid w:val="009D203C"/>
    <w:rsid w:val="009E1165"/>
    <w:rsid w:val="009F47C0"/>
    <w:rsid w:val="00A008F5"/>
    <w:rsid w:val="00A732F0"/>
    <w:rsid w:val="00AD49E2"/>
    <w:rsid w:val="00AD4E41"/>
    <w:rsid w:val="00AE732E"/>
    <w:rsid w:val="00B2044A"/>
    <w:rsid w:val="00B22D80"/>
    <w:rsid w:val="00B83233"/>
    <w:rsid w:val="00B912EC"/>
    <w:rsid w:val="00BE5FA1"/>
    <w:rsid w:val="00BF5121"/>
    <w:rsid w:val="00C15037"/>
    <w:rsid w:val="00C247F0"/>
    <w:rsid w:val="00C721D3"/>
    <w:rsid w:val="00C7343A"/>
    <w:rsid w:val="00C83AAC"/>
    <w:rsid w:val="00CE0CE0"/>
    <w:rsid w:val="00CF4890"/>
    <w:rsid w:val="00CF726A"/>
    <w:rsid w:val="00DA4C61"/>
    <w:rsid w:val="00DC3A93"/>
    <w:rsid w:val="00DD6C6A"/>
    <w:rsid w:val="00DE2FC2"/>
    <w:rsid w:val="00DE6E59"/>
    <w:rsid w:val="00E247C2"/>
    <w:rsid w:val="00E7129D"/>
    <w:rsid w:val="00E77A31"/>
    <w:rsid w:val="00EB3DEC"/>
    <w:rsid w:val="00EE7B21"/>
    <w:rsid w:val="00F25015"/>
    <w:rsid w:val="00F349AA"/>
    <w:rsid w:val="00F423E8"/>
    <w:rsid w:val="00F46365"/>
    <w:rsid w:val="00F555DA"/>
    <w:rsid w:val="00F55FE2"/>
    <w:rsid w:val="00F6142A"/>
    <w:rsid w:val="00FA704C"/>
    <w:rsid w:val="00F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5D395"/>
  <w15:chartTrackingRefBased/>
  <w15:docId w15:val="{9BD14C24-1F91-47CE-A8AD-B9BF0166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096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2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03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03C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74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85A"/>
  </w:style>
  <w:style w:type="paragraph" w:styleId="Piedepgina">
    <w:name w:val="footer"/>
    <w:basedOn w:val="Normal"/>
    <w:link w:val="PiedepginaCar"/>
    <w:uiPriority w:val="99"/>
    <w:unhideWhenUsed/>
    <w:rsid w:val="006748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85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7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7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alquiler5</cp:lastModifiedBy>
  <cp:revision>11</cp:revision>
  <cp:lastPrinted>2022-09-13T13:11:00Z</cp:lastPrinted>
  <dcterms:created xsi:type="dcterms:W3CDTF">2022-09-26T16:35:00Z</dcterms:created>
  <dcterms:modified xsi:type="dcterms:W3CDTF">2022-10-18T14:55:00Z</dcterms:modified>
</cp:coreProperties>
</file>